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7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700"/>
        <w:gridCol w:w="2503"/>
        <w:gridCol w:w="2940"/>
      </w:tblGrid>
      <w:tr>
        <w:trPr/>
        <w:tc>
          <w:tcPr>
            <w:shd w:val="clear" w:color="auto" w:fill="f2f2f2" w:themeFill="background1" w:themeFillShade="F2"/>
            <w:tcW w:w="574" w:type="dxa"/>
            <w:textDirection w:val="lrTb"/>
            <w:noWrap w:val="false"/>
          </w:tcPr>
          <w:p>
            <w:pPr>
              <w:ind w:firstLine="113"/>
              <w:jc w:val="center"/>
              <w:pageBreakBefore/>
              <w:spacing w:after="0" w:line="240" w:lineRule="auto"/>
              <w:widowControl w:val="off"/>
              <w:tabs>
                <w:tab w:val="left" w:pos="558" w:leader="none"/>
              </w:tabs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/п</w:t>
            </w:r>
            <w:r/>
          </w:p>
        </w:tc>
        <w:tc>
          <w:tcPr>
            <w:shd w:val="clear" w:color="auto" w:fill="f2f2f2" w:themeFill="background1" w:themeFillShade="F2"/>
            <w:tcW w:w="4700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tabs>
                <w:tab w:val="left" w:pos="558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проекта нормативного правового акта, по которому проводилась антикоррупционная экспертиза</w:t>
            </w:r>
            <w:r/>
          </w:p>
        </w:tc>
        <w:tc>
          <w:tcPr>
            <w:shd w:val="clear" w:color="auto" w:fill="f2f2f2" w:themeFill="background1" w:themeFillShade="F2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tabs>
                <w:tab w:val="left" w:pos="558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</w:t>
            </w:r>
            <w:r/>
          </w:p>
          <w:p>
            <w:pPr>
              <w:pStyle w:val="866"/>
              <w:jc w:val="center"/>
              <w:widowControl w:val="off"/>
              <w:tabs>
                <w:tab w:val="left" w:pos="558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проведенной</w:t>
            </w:r>
            <w:r/>
          </w:p>
          <w:p>
            <w:pPr>
              <w:pStyle w:val="866"/>
              <w:jc w:val="center"/>
              <w:widowControl w:val="off"/>
              <w:tabs>
                <w:tab w:val="left" w:pos="558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антикоррупционной экспертизы по проекту нормативного правового акта</w:t>
            </w:r>
            <w:r/>
          </w:p>
        </w:tc>
        <w:tc>
          <w:tcPr>
            <w:shd w:val="clear" w:color="auto" w:fill="f2f2f2" w:themeFill="background1" w:themeFillShade="F2"/>
            <w:tcW w:w="2940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tabs>
                <w:tab w:val="left" w:pos="558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Учет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неучет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) замечаний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 результатам проведенных антикоррупционных экспертиз</w:t>
            </w:r>
            <w:r/>
          </w:p>
        </w:tc>
      </w:tr>
      <w:tr>
        <w:trPr>
          <w:trHeight w:val="250"/>
        </w:trPr>
        <w:tc>
          <w:tcPr>
            <w:shd w:val="clear" w:color="auto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проект приказа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Минтранса России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«Об утверждении Правил перевозок грузов автомобильным транспортом»</w:t>
            </w:r>
            <w:r/>
          </w:p>
        </w:tc>
        <w:tc>
          <w:tcPr>
            <w:shd w:val="clear" w:color="auto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подпункт «в» пункта 4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26 февраля 2010 г. № 96</w:t>
            </w:r>
            <w:r/>
          </w:p>
        </w:tc>
        <w:tc>
          <w:tcPr>
            <w:shd w:val="clear" w:color="auto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Повторно на экспертизу не поступал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/>
          </w:p>
        </w:tc>
      </w:tr>
      <w:tr>
        <w:trPr>
          <w:trHeight w:val="250"/>
        </w:trPr>
        <w:tc>
          <w:tcPr>
            <w:shd w:val="clear" w:color="auto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проект приказа Минтранса России «О признании утратившими силу приказов Министерства транспорта Российской Федерации от 19 августа 2020 г. № 316 и от 2 марта 2021 г. № 55</w:t>
            </w:r>
            <w:r/>
          </w:p>
        </w:tc>
        <w:tc>
          <w:tcPr>
            <w:shd w:val="clear" w:color="auto" w:fill="ffffff" w:themeFill="background1"/>
            <w:tcW w:w="2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Коррупциогенные факторы не выявлены</w:t>
            </w:r>
            <w:r/>
          </w:p>
        </w:tc>
        <w:tc>
          <w:tcPr>
            <w:shd w:val="clear" w:color="auto" w:fill="ffffff" w:themeFill="background1"/>
            <w:tcW w:w="2940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 w:themeColor="text1"/>
                <w:sz w:val="24"/>
                <w:szCs w:val="24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shd w:val="clear" w:color="auto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проект приказа Минтранса России «Об утверждении Порядка разработки и утверждения проектов организации дорожного движения, разрабатываемых для автомобильных дорог федерального значения»</w:t>
            </w:r>
            <w:r/>
          </w:p>
        </w:tc>
        <w:tc>
          <w:tcPr>
            <w:shd w:val="clear" w:color="auto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подпункт «в» пункта 4 Методики проведения антикоррупционной экспертизы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нормативных правовых актов и проектов нормативных правовых актов, утвержденной постановлением Правительства Российской Федерации 26 февраля 2010 г. № 96</w:t>
            </w:r>
            <w:r/>
          </w:p>
        </w:tc>
        <w:tc>
          <w:tcPr>
            <w:shd w:val="clear" w:color="auto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Повторно на экспертизу не поступал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0"/>
        </w:trPr>
        <w:tc>
          <w:tcPr>
            <w:shd w:val="clear" w:color="auto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проект приказа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Минтранса России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«Об утверждении типовых дополнительных профессиональных программ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профессиональной переподготовки и программ повышения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квалификации специалистов в области организации дорожного движения»</w:t>
            </w:r>
            <w:r/>
          </w:p>
        </w:tc>
        <w:tc>
          <w:tcPr>
            <w:shd w:val="clear" w:color="auto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Коррупциогенные факторы не выявлены</w:t>
            </w:r>
            <w:r/>
          </w:p>
        </w:tc>
        <w:tc>
          <w:tcPr>
            <w:shd w:val="clear" w:color="auto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shd w:val="clear" w:color="auto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проект приказа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Минтранса России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ограничении предмета федерального государственного контроля (надзора) на автомобильном транспорте, городском наземном электрическом транспорте и в дорожном хозяйстве и определении перечня обязательных требований, оценка соблюдения которых проводится в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амках такого контроля (надзора) на территориях Донецкой Народной Республики, Луганской Народной Республики, Запорожской области и Херсонской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</w:t>
            </w:r>
            <w:r/>
          </w:p>
        </w:tc>
        <w:tc>
          <w:tcPr>
            <w:shd w:val="clear" w:color="auto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Коррупциогенные факторы не выявлены</w:t>
            </w:r>
            <w:r/>
          </w:p>
        </w:tc>
        <w:tc>
          <w:tcPr>
            <w:shd w:val="clear" w:color="auto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shd w:val="clear" w:color="auto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проект приказа Минтранса России «Об утверждении правил обеспечения безопасности перевозок автомобильным транспортом и городским наземным электрическим транспортом»</w:t>
            </w:r>
            <w:r/>
          </w:p>
        </w:tc>
        <w:tc>
          <w:tcPr>
            <w:shd w:val="clear" w:color="auto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подпункт «в» пункта 4 Методики проведения антикоррупционной экспертизы нормативных правовых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актов и проектов нормативных правовых актов, утвержденной постановлением Правительства Российской Федерации 26 февраля 2010 г. № 96</w:t>
            </w:r>
            <w:r/>
          </w:p>
        </w:tc>
        <w:tc>
          <w:tcPr>
            <w:shd w:val="clear" w:color="auto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Повторно на экспертизу не поступал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0"/>
        </w:trPr>
        <w:tc>
          <w:tcPr>
            <w:shd w:val="clear" w:color="auto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 внесении изменений в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Порядок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ким наземным электрическим транспортом, утвержденный приказом Минтранса России от 20 октября 2021 г. № 351»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Коррупциогенные факторы не выявлены</w:t>
            </w:r>
            <w:r/>
          </w:p>
        </w:tc>
        <w:tc>
          <w:tcPr>
            <w:shd w:val="clear" w:color="auto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—</w:t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проект приказа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Минтранса России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создании государственной информационной системы поддержки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принятия решений по развитию транспортной инфраструктуры на основе транспортн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экономического баланса Российской Федерации (ГИС ТЭБ)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проект приказа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Минтранса России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наделении полномочиями на период временного отсутствия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аместителей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Министра транспорта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Порядка принятия решения о пресечении функционирования беспилотных аппаратов в целях защиты от актов незаконного вмешательства объектов транспортной инфраструктуры, вокруг которых установлены зоны безопасности, и перечня должностных лиц подр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азделений транспортной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безопасности, уполномоченных на принятие такого решения» 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252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</w:t>
            </w:r>
            <w:r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внесении изменений </w:t>
            </w:r>
            <w:r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Положение о Комиссии Министерства транспорта Российской Федерации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транспорта Российской </w:t>
            </w:r>
            <w:r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Федерации, и урег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улированию конфликта интересов,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утвержденное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приказом Министерства транспорта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Российской Федерации от 24 сентября 2018 г. № 339» 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</w:t>
            </w:r>
            <w:r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внесении изменения в приказ Министерства транспорта Российской Федерации от 27 декабря 2021 г. № 464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 стипендии имени П.П. Мельникова» 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</w:t>
            </w:r>
            <w:r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Перечня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должностей в организациях, созданных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выполнения задач, поставленных перед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Министерством транспорта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тве и обязательствах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имущественного характера своих супруги (супруга)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несовершеннолетних детей» 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</w:t>
              <w:br/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вводе в эксплуатацию доработанного функционала государственной информационной системы электронных перевозочных документов в части реализации сервиса резервирования времени пересечения государственной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границы Российской Федераци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</w:t>
            </w:r>
            <w:r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проведении в Министерстве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транспорта Российской Федерации оценки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последствий принятия решения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реконструкции, модернизации,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изменении назначения или о ликвидации объекта социальной инфраструктуры для детей, являющегося федеральной государственной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обственностью, заключении федеральной государственной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а также о реорганизации или ликвидации феде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ральных государственных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организаций, образующих социальную инфраструктуру для детей, за исключением федеральной государственной образовательной организации» 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</w:r>
            <w:r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 внесении изменений в Перечень отнесенных к первой и второй категориям объектов транспортной инфраструктуры, на которых в рамках федерального государственного контроля (надзора) в области транспортной безопасности осуществляется обязательный мониторинг,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утвержденный приказом Министерства транспорта Российской Федерации от 22 октября 2021 г. № 355»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</w:t>
            </w:r>
            <w:r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порядка применения средств идентификации (пломб), функционирующих на основе технологии глобальной навигационной спутниковой системы ГЛОНАСС,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ввозе и вывозе товаров через автомобильные пункты пропуска в случае их прибытия на таможенную территорию Евразийского экономического союза и убытия с таможенной территории Евразийского экономического союза в местах, не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являющихся местами перемещения 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варов в соответствии с Таможенным кодексом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Евразийского экономического союза» 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</w:t>
            </w:r>
            <w:r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внесении изменений в приложение к приказу Министерства транспорта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Российской Федерации от 28 августа </w:t>
              <w:br/>
              <w:t xml:space="preserve">2020 г. № 331» 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</w:t>
            </w:r>
            <w:r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учреждении памятного знака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Министра транспорта Российской Федерации «В ознаменование 215-летия транспортного ведомства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транспортного образования»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</w:t>
            </w:r>
            <w:r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учреждении именной стипендии имени Т.Б.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Гуженко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студентов и курсантов, обучающихся в федеральных государственных бюджетных и автономных образовательных учреждениях высшего образования, находящихся в ведении Министерства транспорта Российской Федерац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ии и подведомственного Министерству транспорта Российской Федерации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агентства морского и речного транспорта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утверждении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условий ее выплаты»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</w:t>
            </w:r>
            <w:r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Порядка составления и утверждения отчета о результатах деятельности федеральных государственных учреждений, находящихся в ведении Министерства транспорта Российской Федерации, и об использовании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закрепленного за ними государственного имущес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тва» 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</w:t>
              <w:br/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установлении Правил проведения досмотра, дополнительного досмотра, повторного досмотра, наблюдения и (или) 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беседования в целях обеспечения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транспортной безопасности»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</w:t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 внесении изменения в пределы морского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грузо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-пассажирского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постоянного многостороннего пункта пропуска через государственную границу Российской Федерации в морском порту Владивосток, утвержденные приказом Министерства транспорта Российской Федерации от 7 сентября 2020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356»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Коррупциогенные факторы не выявлены</w:t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«О внесении изменений в пределы морского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грузо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-пассажирского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постоянного многостороннего пункта пропуска через государственную границу Российской Федерации в морском порту Большой порт Санкт-Петербург, утвержденные приказом Министерства транспорта Российской Федерации от 16 августа 2016 г. № 240»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</w:t>
              <w:br/>
              <w:t xml:space="preserve">«Об утверждении Правил оказания услуг по перевозке пассажиров, багажа, грузов для личных (бытовых) нужд на внутреннем водном транспорте»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Подпункт «в» пункта 4 Методики проведения антикоррупционной экспертизы нормативных правовых актов, утвержденной постановлением Правительства Российской Федерации от 26.02.2010 № 96</w:t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Замечания учтены</w:t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</w:t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 внесении изменений в Правила пропуска судов через шлюзы внутренних водных путей, утвержденные приказом Министерства транспорта Российской Федерации от 3 марта 2014 г. № 58»</w:t>
            </w:r>
            <w:r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Подпункт «в» пункта 4 Методики проведения антикоррупционной экспертизы нормативных правовых актов, утвержденной постановлением Правительства Российской Федерации от 26.02.2010 № 96</w:t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Повторно на экспертизу не поступал</w:t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«О внесении изменений в пределы морского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грузо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-пассажирского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постоянного многостороннего пункта пропуска через государственную границу Российской Федерации в морском порту Сочи (Краснодарский край), утвержденные приказом Министерства транспорта Российской Федерации от 9 апреля 2019 г. № 98»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</w:t>
              <w:br/>
              <w:t xml:space="preserve">«О внесении изменений в приложение к приказу Министерства транспорта Российской Федерации от 17 августа 2012 г. № 316 «Об определении бассейнов внутренних водных путей Российской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Федерации»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«Об утверждении примерной формы договора технического управления морским судном»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Подпункт «в» пункта 4 Методики проведения антикоррупционной экспертизы нормативных правовых актов, утвержденной постановлением Правительства Российской Федерации от 26.02.2010 № 96</w:t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Замечания учтены</w:t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«Об утверждении примерной формы договора технического управления судном внутреннего водного плавания»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Подпункт «в» пункта 4 Методики проведения антикоррупционной экспертизы нормативных правовых актов, утвержденной постановлением Правительства Российской Федерации от 26.02.2010 № 96</w:t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Замечания учтены</w:t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«Об установлении границ зон безопасности вокруг искусственных установок, расположенных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континентальном шельфе Российской Федерации»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«Об установлении запретных для плавания районов в период проведения IX Восточного экономического форума»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  </w:t>
              <w:br/>
              <w:t xml:space="preserve">«О внесении изменений в Обязательные постановления в морском порту Кавказ, утвержденные приказом Министерства транспорта Российской Федерации от 23 марта 2018 г. № 110»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Подпункт «в» пункта 4 Методики проведения антикоррупционной экспертизы нормативных правовых актов, утвержденной постановлением Правительства Российской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Федерации от 26.02.2010 № 96</w:t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Повторно на экспертизу не поступал</w:t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   </w:t>
              <w:br/>
              <w:t xml:space="preserve">«Об установлении запретных для плавания районов в зоне электросетевого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энергомоста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Российская Федерация – полуостров Крым»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«О внесении изменений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Обязательные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постановлений в морском порту Керчь»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Подпункт «в» пункта 4 Методики проведения антикоррупционной экспертизы нормативных правовых актов, утвержденной постановлением Правительства Российской Федерации от 26.02.2010 № 96</w:t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Повторно на экспертизу не поступал</w:t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</w:t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«Об утверждении Обязательных постановлений в морском порту Корсаков»</w:t>
            </w:r>
            <w:r/>
            <w:r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Подпункт «в» пункта 4 Методики проведения антикоррупционной экспертизы нормативных правовых актов, утвержденной постановлением Правительства Российской Федерации от 26.02.2010 № 96</w:t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Замечания учтены</w:t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«Об утверждении Правил перевозок пассажиров и их багажа на внутреннем водном транспорте»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Подпункт «в» пункта 4 Методики проведения антикоррупционной экспертизы нормативных правовых актов, утвержденной постановлением Правительства Российской Федерации от 26.02.2010 № 96</w:t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Замечания учтены</w:t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«О внесении изменения в Положение о минимальном составе экипажей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самоходных транспортных судов, утвержденное приказом Министерства транспорта Российской Федерации от 31 июля 2023 г. № 259»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«Об открытии морского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грузо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-пассажирского постоян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ного многостороннего пункта пропуска через государственную границу Российской Федерации в морском порту Владивосток, реконструированного в пределах территории ООО «Морской порт «Суходол» (универсальный причал № 3) и о внесении изменений в пределы морского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грузо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-пассажирского постоянного многостороннего пункта пропуска через государственную границу Российской Федерации в морском порту Владивосток, утвержденные приказом Министерства транспорта Российской Федерации 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 сентября 2020 г. № 356»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«Об утверждении Обязательных постановлений в морском порту Усть-Луга»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Подпункт «в» пункта 4 Методики проведения антикоррупционной экспертизы нормативных правовых актов, утвержденной постановлением Правительства Российской Федерации от 26.02.2010 № 96</w:t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Замечания учтены</w:t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«Об утверждении Требований к государственным навигационным картам»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Подпункт «в» пункта 4 Методики проведения антикоррупционной экспертизы нормативных правовых актов, утвержденной постановлением Правительства Российской Федерации от 26.02.2010 № 96</w:t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Повторно на экспертизу не поступал</w:t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«О внесении изменений в приказ Министерства транспорта Российской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Федерации от 4 мая 2018 г. № 173 «Об утверждении Обязательных постановлений в морском порту Охотск»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Подпункт «в» пункта 4 Методики проведения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антикоррупционной экспертизы нормативных правовых актов, утвержденной постановлением Правительства Российской Федерации от 26.02.2010 № 96</w:t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Повторно на экспертизу не поступал</w:t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«Об утверждении пределов морского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грузо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-пассажирского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постоянного многостороннего пункта пропуска через государственную границу Российской Федерации в морском порту Керчь (Республика Крым)»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России </w:t>
              <w:br/>
              <w:t xml:space="preserve">«Об утверждении порядка формирования и регламента работы экспертных комиссий по проведению государственной экспертизы деклараций безопасности судоходных гидротехнических сооружений, квалификационных требований к специалистам, включаемым в их состав»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Подпункт «в» пункта 4 Методики проведения антикоррупционной экспертизы нормативных правовых актов, утвержденной постановлением Правительства Российской Федерации от 26.02.2010 № 96</w:t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Повторно на экспертизу не поступал</w:t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«Об утверждении Обязательных постановлений в морском порту Сочи»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Подпункт «в» пункта 4 Методики проведения антикоррупционной экспертизы нормативных правовых актов, утвержденной постановлением Правительства Российской Федерации от 26.02.2010 № 96</w:t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Повторно на экспертизу не поступал</w:t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«Об открытии морского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грузо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-пассажирского постоянного многостороннего пункта пропуска через государственную границу Российской Федерации в морском порту Владивосток, реконструированного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пределах территории ООО «Морской порт «Суходол» (универсальный причал № 3) и о внесении изменений в пределы морского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грузо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-пассажирского постоянного многостороннего пункта пропуска через государственную границу Российской Федерации в морском порту Владивосток, утвержденные приказом Министерства транспорта Российской Федерации 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 сентября 2020 г. № 356»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«О внесении изменений в Правила движения и стоянки судов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Обь-Иртышском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бассейне внутренних водных путей Российской Федерации, утвержденные приказом Министерства транспорта Российской Федерации от 7 ноября 2023 г. № 365»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«О внесении изменений в Обязательные постановления в морском порту Зарубино, утвержденные приказом Министерства транспорта Российской Федерации от 15 апреля 2013 г. № 122» 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«Об утверждении Порядка рассмотрения заявлений на плавание судов под флагами государств-членов Евразийского экономического союза по внутренним водным путям Российской Федерации» 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«О внесении изменений в приказ Министерства транспорта Российской Федерации от 25 декабря 2012 г. № 446 «Об утверждении Обязательных постановлений в морском порту Анапа» 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«О внесении изменений в Обязательные постановления в морском порту Тамань, утвержденные приказом Министерства транспорта Российской Федерации от 22 января 2014 г. № 16» 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«Об утверждении Обязательных постановлений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морском порту Туапсе»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внесении изменений в перечень затонувшего имущества, удаление которого является обязательным в соответствии с пунктами 2 и 3 статьи 109 Кодекса торгового мореплавания Российской Федерации, утвержденный приказом Минтранса России от 2 июня 2023 г. № 200»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«Об утверждении пределов морского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грузо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-пассажирского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постоянного многостороннего пункта пропуска через государственную границу Российской Федерации в морском порту Севастополь»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«О внесении изменений в приказ Министерства транспорта Российской Федерации от 24 декабря 2013 г. № 483 «Об утверждении Обязательных постановлений в морском порту Николаевск-на-Амуре»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«Об утверждении Обязательных постановлений в морском порту Кандалакша»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Подпункт «в» пункта 4 Методики проведения антикоррупционной экспертизы нормативных правовых актов, утвержденной постановлением Правительства Российской Федерации от 26.02.2010 № 96</w:t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Замечания учтены</w:t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«О внесении изменений в перечень индикаторов риска нарушения обязательных требований при осуществлении Федеральной службой по надзору в сфере транспорта федерального государственного контроля (надзор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в области торгового мореплавания и внутреннего водного транспорта (за исключением обеспечения безопасности плавания судов рыбопромыслового флота в районах промысла при осуществлении рыболовства), утвержденный приказом Министерства транспорта Российской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Федерации от 23 августа 2023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№ 291»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Подпункт «в» пункта 4 Методики проведения антикоррупционной экспертизы нормативных правовых актов, утвержденной постановлением Правительства Российской Федерации от 26.02.2010 № 96</w:t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Замечания учтены</w:t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«О внесении изменений в приказ Министерства транспорта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 от 13 декабря 2012 г. № 431 «Об утверждении Обязательных постановлений в морском порту Ванино»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Подпункт «в» пункта 4 Методики проведения антикоррупционной экспертизы нормативных правовых актов, утвержденной постановлением Правительства Российской Федерации от 26.02.2010 № 96</w:t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Замечания учтены</w:t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  <w:t xml:space="preserve">«О внесении изменений в приказ Министерства транспорта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 от 22 марта 2012 г. № 74 «Об утверждении Обязательных постановлений в морском порту Астрахань»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Подпункт «в» пункта 4 Методики проведения антикоррупционной экспертизы нормативных правовых актов, утвержденной постановлением Правительства Российской Федерации от 26.02.2010 № 96</w:t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Замечания учтены</w:t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</w:t>
              <w:br/>
              <w:t xml:space="preserve">«Об утверждении формы акта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преддекларационного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обследования судоходного гидротехнического сооружения»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Подпункт «в» пункта 4 Методики проведения антикоррупционной экспертизы нормативных правовых актов, утвержденной постановлением Правительства Российской Федерации от 26.02.2010 № 96</w:t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Повторно на экспертизу не поступал</w:t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приказа Минтранса России </w:t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 внесении изменений в приказ Министерства транспорта Российской Федерации от 22 марта 2012 г. № 75 «Об утверждении Обязательных постановлений в морском порту Де-Кастри»</w:t>
            </w:r>
            <w:r/>
            <w:r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Подпункт «в» пункта 4 Методики проведения антикоррупционной экспертизы нормативных правовых актов, утвержденной постановлением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Правительства Российской Федерации от 26.02.2010 № 96</w:t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Повторно на экспертизу не поступал</w:t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приказа Минтранса России </w:t>
              <w:br/>
              <w:t xml:space="preserve">«О внесении изменений в Правила перевозок пассажиров, багажа, грузобагажа железнодорожным транспортом, утвержденные приказом Минтранса России от 5 сентября 2022 г. </w:t>
              <w:br/>
              <w:t xml:space="preserve">№ 352»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приказа Минтранса России</w:t>
              <w:br/>
              <w:t xml:space="preserve"> «Об утверждении Порядка и сроков проведения аттестации работников железнодорожного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которых связана с движением поездов»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приказа Минтранса России </w:t>
              <w:br/>
              <w:t xml:space="preserve">«Об установлении Порядка выдачи свидетельства, подтверждающего право на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курсирующими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железнодорожным путям локомотивом, мотор-вагонным подвижным составом, специальным самоходным подвижным составом и (или) высокоскоростным железнодорожным подвижным составом, приостановления действия и аннулирования указанного свидетельства,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 также формы свидетельства и требований к его оформлению»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</w:t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Повторно на экспертизу не поступал</w:t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приказа Минтранса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внесении изменений Перечень критериев технических и технологичес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ких возможностей осуществления перевозки, отсутствие которых является для перевозчика и владельца инфраструктуры основанием отказа от согласования заявки на перевозку грузов, утвержденный приказом Министерства транспорта Российской Федерации от 6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2010 г. № 192»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приказа Министерства транспорта Российской Федерации «О внесении изменений в критерии определения категорий поездов для перевозки пассажиров в зависимости от скорости их движения и расстояния следования,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приказом Министерства транспорта Российской Федерации от 28 июня 2021 г. № 213»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приказа Минтранса России </w:t>
              <w:br/>
              <w:t xml:space="preserve">«Об утверждении Правил перевозок грузов, порожних грузовых вагонов железнодорожным транспортом, содержащие форму заявки на перевозку грузов, правила и порядок ее оформления и представления, порядок оформления и взыскания штрафов»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 Методики проведения антикоррупционной экспертизы нормативных правовых актов, утвержденной постановлением Правительства Российской Федерации от 26 февраля 2010 г. № 96</w:t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Повторно на экспертизу не поступал</w:t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приказа Минтранса России </w:t>
              <w:br/>
              <w:t xml:space="preserve">«Об утверждении Положения о функциональной подсистеме предупреждения и ликвидации чрезвычайных ситуаций на железнодорожном транспорте единой государственной системы предупреждения и ликвидации чрезвычайных ситуаций» 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«в» пункта 4 Методики проведения антикоррупционной экспертизы нормативных правовых актов, утвержденной постановлением Правительства Российской Федерации от 26 февраля 2010 г. № 96</w:t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Повторно на экспертизу не поступал</w:t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приказа Минтранса России </w:t>
              <w:br/>
              <w:t xml:space="preserve">«О внесении изменений в приказ Министерства транспорта Российской Федерации от 7 августа 2015 г. № 245 </w:t>
              <w:br/>
              <w:t xml:space="preserve">«Об утверждении Правил исчисления сроков доставки грузов, порожних грузовых вагонов железнодорожным транспортом»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«б» пункта 3 Методики проведения антикоррупционной экспертизы нормативных правовых актов, утвержденной постановлением Правительства Российской Федерации от 26 февраля 2010 г. № 96</w:t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Повторно на экспертизу не поступал</w:t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приказа Минтранса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«Об определении Порядка обеспечения условий доступности для пассажиров из числа инвалидов пассажирских вагонов, вокзалов, поездов дальнего следования и предоставляемых услуг на вокзалах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поездах дальнего следования»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приказа 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транспорта Российской Федерации «Об утверждении требований к размещению, хранению и использованию укладок для оказания первой помощи с применением медицинских изделий пострадавшим на железнодорожном транспорте при оказании услуг по перевозкам пассажиров»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приказа Минтранса России </w:t>
              <w:br/>
              <w:t xml:space="preserve">«О внесении изменений в Условия эксплуатации железнодорожных переездов, утвержденные приказом Министерства транспорта Российской Федерации от 5 октября 2022 г. № 402»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«а» пункта 3 Методики проведения антикоррупционной экспертизы нормативных правовых актов, утвержденной постановлением Правительства Российской Федерации от 26 февраля 2010 г. № 96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Повторно на экспертизу не поступал</w:t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приказа Минтранса России </w:t>
              <w:br/>
              <w:t xml:space="preserve">«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Порядка определения кратчайшего расстояния, на которое осуществляются перевозки грузов на железнодорожном транспорте»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«в» пункта 4 Методики проведения антикоррупционной экспертизы нормативных правовых актов, утвержденной постановлением Правительства Российской Федерации от 26 февраля 2010 г. № 96</w:t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Повторно на экспертизу не поступал</w:t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приказа Минтранса России </w:t>
              <w:br/>
              <w:t xml:space="preserve">«Об установлении Перечня допускаемых для перевозок в прямом смешанном сообщении продовольственных и скоропортящихся грузов, опасных грузов или грузов, которые должны сопровождать представители грузоотправителей,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грузополучателей»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приказа Минтранса России </w:t>
              <w:br/>
              <w:t xml:space="preserve">«О внесении изменений в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чень индикаторов риска нарушения обязательных требований при осуществлении федерального государственного контроля (надзора) в области железнодорожного транспорта, утвержденный приказом Министерства транспорта Российской Федерации от 8 апреля 2024 г. № 113»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Министерства транспорта Российской Федерации «О внесении изменений в приказ Министерства транспорта Российской Федерации от 18 декабря 2019 г. № 405 «Об утверждении Правил перевозок железнодорожным транспортом грузов в контейнерах и порожних контейнеров»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«а» пункта 3,   подпункт «в» пункта 4 Методики проведения антикоррупционной экспертизы нормативных правовых актов, утвержденной постановлением Правительства Российской Федерации от 26 февраля 2010 г. № 96</w:t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Повторно на экспертизу не поступал</w:t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приказа Минтранса России </w:t>
              <w:br/>
              <w:t xml:space="preserve">«О внесении изменения в Правила перевозок железнодорожным транспортом грузов наливом в вагонах-цистернах и вагонах бункерного типа для перевозки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нефтебитума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утвержденные приказом Министерства транспорта Российской Федерации от 29 июля 2019 г. № 245»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«в» пункта 4 Методики проведения антикоррупционной экспертизы нормативных правовых актов, утвержденной постановлением Правительства Российской Федерации от 26 февраля 2010 г. № 96</w:t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Повторно на экспертизу не поступал</w:t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приказа Минтранса России </w:t>
              <w:br/>
              <w:t xml:space="preserve">«О внесении изменений Перечень критериев технических и технологических возможностей осуществления перевозок, отсутствие которых является для перевозчика и владельца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езнодорожного транспорта общего пользования основанием отказа в согласовании запроса-уведомления на перевозку порожнего грузового вагона, порожних грузовых вагонов, утвержденный приказом Министерства транспорта Российской Федерации от 7 июля 2015 г. № 214»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«а» пункта 3 Методики проведения антикоррупционной экспертизы нормативных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актов, утвержденной постановлением Правительства Российской Федерации от 26 февраля 2010 г. № 96</w:t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Повторно на экспертизу не поступал</w:t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приказа Министерства транспорта «Об утверждении Правил туристских железнодорожных перевозок пассажиров и багажа»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проект приказа Минтранса России</w:t>
              <w:br/>
              <w:t xml:space="preserve"> «О внесении изменения в приказ Министерства транспорта Российской Федерации от 28 октября 2022 г. № 439 «Об установлении порядка формирования и ведения автоматизированной централизованной базы персональных данных</w:t>
            </w: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, касающихся состояния здоровья членов летного экипажа гражданского воздушного судна и диспетчеров управления воздушным движением, и порядка предоставления содержащихся в ней сведений и обмена сведениями с государственными информационными системами в сфере</w:t>
            </w: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 здравоохранения»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приказа Минтранса России</w:t>
              <w:br/>
              <w:t xml:space="preserve"> «Об установлении зон полетов беспилотных воздушных судов»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приказа Минтранса России</w:t>
              <w:br/>
              <w:t xml:space="preserve"> «О внесении изменений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приложение к приказу Минтранса России от 28 февраля 2024 г. № 68»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приказа Минтранса России</w:t>
              <w:br/>
              <w:t xml:space="preserve"> «Об утверждении Порядка взимания платы за регулярные воздушные перевозки пассажиров и багажа, рассчитанной на основе тарифов и сборов»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приказа Минтранса России </w:t>
              <w:br/>
              <w:t xml:space="preserve">«О внесении изменений в приказ Министерства транспорта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Российской Федерации от 11 мая 2022 г.</w:t>
              <w:br/>
              <w:t xml:space="preserve"> № 173 «Об установлении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постоянных зон ограничения полетов и временных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зарезервированных зон ограничения полетов»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приказа Минтранса России </w:t>
              <w:br/>
              <w:t xml:space="preserve">«О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внесении изменений в приказ Министерства транспорта Российской Федерации от 11 мая 2022 г. № 172</w:t>
              <w:br/>
              <w:t xml:space="preserve"> «Об установлении запретных зон»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приказа Минтранса России</w:t>
              <w:br/>
              <w:t xml:space="preserve"> «О внесении изменений в приказы Министерства транспорта Российской Федерации от 7 сентября 2023 г. № 310 и от 7 сентября 2023 г. № 311»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приказа Минтранса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  <w:br/>
              <w:t xml:space="preserve">«О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 утверждении Федеральных авиационных правил «Порядок проведения обязатель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сертификации светосигнального оборудования, устанавливаемого на сертифицированных аэродромах, предназначенных для взлета, посадки, руления и стоянки гражданских воздушных судов. Порядок привлечения сертификационных центров и испытательных лабораторий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проведения обязательной сертификации светосигнального оборудования. Порядок приостановления действия и аннулирования сертификата типа на типовую конструкцию светосигнального оборудования и сертификата единичного экземпляра светосигнального оборудования»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приказа Минтранса России </w:t>
              <w:br/>
              <w:t xml:space="preserve">«Об утверждении требований к сертификационным центрам и испы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тательным лабораториям, порядка аккредитации сертификационных центров и испытательных лабораторий, приостановления действия аттестата аккредитации сертификационных центров и испытательных лабораторий, изменения (расширения, сокращения) области аккредитации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сертификационных центров и испытательных лабораторий и осуществления контроля за деятельностью сертификационных центров и испытательных лабораторий, требований к реестру аккредитованных сертификационных центров, испытательных лабораторий и порядка 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такого реестра»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приказа Минтранса России </w:t>
              <w:br/>
              <w:t xml:space="preserve">«О признании утратившими силу приказа Министерства транспорта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Федерации от 25 июля 2007 г. № 104 «Об утверждении Правил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проведения предполетного и послеполетного досмотров» и внесенных в него изменений»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приказа Министерства транспорта Российской Федерации «Об утверждении Федеральных авиационных правил «Требования к юридическим лицам, индивидуальным предпринимателям, осуществляющим техническое обслуживание подлежащих обязательной сертификации бес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пилотных авиационных систем и (или) их элементов, гражданских воздушных судов, авиационных двигателей, воздушных винтов, за исключением легких, сверхлегких гражданских воздушных судов, не осуществляющих коммерческих воздушных перевозок и авиационных работ.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и 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и возобновления действия документа, подтверждающего соответствие юридическ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лица, индивидуального предпринимателя требованиям федеральных авиационных правил, введения ограничений в его действие и их снятия, внесения в него изменений и его аннулирования. Правила технического обслуживания подлежащих обязательной сертификации бес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пилотных авиационных систем и (или) их элементов, гражданских воздушных судов, авиационных двигателей, воздушных винтов, за исключением легких, сверхлегких гражданских воздушных судов, не осуществляющих коммерческих воздушных перевозок и авиационных работ»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 приказа Минтранса России </w:t>
              <w:br/>
              <w:t xml:space="preserve">«Об утверждении Федеральных авиационных правил «Требования к летной годности гражданских воздушных судов. Форма и порядок оформления сертификата летной годности гражданского воздушного судна.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приостановления действия и аннулирования сертификата летной годности гражданского воздушного судна» 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приказа Минтранса России </w:t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Федеральные авиационные правила «Требования, предъявляемые к оформлению и форме свидетельств авиационного персонала гражданской авиации», утвержденные приказом Министерства транспорта Российской Федерации от 10 февраля </w:t>
              <w:br/>
              <w:t xml:space="preserve">2014 г. № 32» 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приказа Минтранса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  <w:br/>
              <w:t xml:space="preserve">«О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 утверждении Федеральных авиационных правил «Порядок проведения для гражданско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авиации наземных и летных проверок светосигнального оборудования, устанавливаемого на сертифицированных аэродромах, предназначенных для взлета, посадки, руления и стоянки гражданских воздушных судов, радиотехнического оборудования и оборудования авиацион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электросвязи, используемых для обслуживания воздушного движения, наземного оборудования, необходимого для предоставления поставщиками услуг по обслуживанию линий управления беспилотными авиационными системами и контроля беспилотных авиационных систем» 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приказа Минтранса России </w:t>
              <w:br/>
              <w:t xml:space="preserve">«Об установлении Перечня допускаемых для перевозок в прямом смешанном сообщении продовольственных и скоропортящихся грузов, опасных грузов или грузов, которые должны сопровождать представители грузоотправителей, грузополучателей»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приказа Минтранса России «Об утверждении Федеральных авиационных правил «Порядок проведения обязательной сертификации радиотехнического оборудования и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борудования авиационной электросвязи, используемых для обслуживания воздушного движения, наземного оборудования по обслуживанию линий управления беспилотными авиационными системами и контроля беспилотных авиационных систем. Требования к юридическим лицам,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осуществляющим изготовление радиотехнического оборудования и оборудования авиационной электросвязи, используемых для обслуживания воздушного движения, а также к юридическим лицам, осуществляющ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 изготовление наземного оборудования по обслуживанию линий управления беспилотными авиационными системами и контроля беспилотных авиационных систем. Порядок проведения обязательной сертификации деятельности юридических лиц, осуществляющих изготовление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диотехнического оборудования и оборудования авиационной электросвязи, используемых для обслуживания воздушного движения, наземного оборудования по обслуживанию линий управления беспилотными авиационными системами и контроля беспилотных авиационных систем» 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Подпункт «ж» пункта 3 Методики проведения антикоррупционной экспертизы нормативных правовых актов и проектов нормативных правовых актов, утвержденной постановлением </w:t>
            </w: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Правительства Российской Федерации от 26.02.2010 № 96</w:t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Повторно на экспертизу не поступал</w:t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приказа Минтранса России </w:t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перечень индикаторов риска нарушения обязательных требований при осуществлении федерального государственного контроля (надзора) в области гражданской авиации, утвержденный приказом Министерства транспорта Российской Федерации от 30 ноября 2021 г. № 423» 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 w:themeFill="background1"/>
            <w:tcW w:w="574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3"/>
              </w:numPr>
              <w:contextualSpacing w:val="0"/>
              <w:ind w:left="0" w:firstLine="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4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проекта приказа Минтранса России</w:t>
              <w:br/>
              <w:t xml:space="preserve"> «Об утверждении Требований к организации медицинского обслуживания в аэропортах гражданской авиации»</w:t>
            </w:r>
            <w:r/>
          </w:p>
        </w:tc>
        <w:tc>
          <w:tcPr>
            <w:shd w:val="clear" w:color="ffffff" w:fill="ffffff" w:themeFill="background1"/>
            <w:tcW w:w="2503" w:type="dxa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 не выявлены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color w:val="000000"/>
        </w:rPr>
      </w:pPr>
      <w:r>
        <w:rPr>
          <w:color w:val="000000"/>
        </w:rPr>
      </w:r>
      <w:r/>
    </w:p>
    <w:p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412" w:right="567" w:bottom="567" w:left="567" w:header="567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78825714"/>
      <w:docPartObj>
        <w:docPartGallery w:val="Page Numbers (Top of Page)"/>
        <w:docPartUnique w:val="true"/>
      </w:docPartObj>
      <w:rPr/>
    </w:sdtPr>
    <w:sdtContent>
      <w:p>
        <w:pPr>
          <w:pStyle w:val="86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3</w:t>
        </w:r>
        <w:r>
          <w:rPr>
            <w:rFonts w:ascii="Times New Roman" w:hAnsi="Times New Roman" w:cs="Times New Roman"/>
          </w:rPr>
          <w:fldChar w:fldCharType="end"/>
        </w:r>
        <w:r/>
      </w:p>
      <w:p>
        <w:pPr>
          <w:pStyle w:val="86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</w:r>
        <w:r/>
      </w:p>
      <w:p>
        <w:pPr>
          <w:jc w:val="center"/>
          <w:spacing w:after="0" w:line="240" w:lineRule="auto"/>
          <w:rPr>
            <w:rFonts w:ascii="Times New Roman" w:hAnsi="Times New Roman" w:cs="Times New Roman" w:eastAsia="Times New Roman"/>
            <w:b/>
            <w:color w:val="000000"/>
            <w:sz w:val="28"/>
            <w:szCs w:val="20"/>
            <w:lang w:eastAsia="ru-RU"/>
          </w:rPr>
        </w:pPr>
        <w:r>
          <w:rPr>
            <w:rFonts w:ascii="Times New Roman" w:hAnsi="Times New Roman" w:cs="Times New Roman" w:eastAsia="Times New Roman"/>
            <w:b/>
            <w:color w:val="000000"/>
            <w:sz w:val="28"/>
            <w:szCs w:val="20"/>
            <w:lang w:eastAsia="ru-RU"/>
          </w:rPr>
          <w:t xml:space="preserve">Результаты антикоррупционной экспертизы проектов нормативных правовых актов  </w:t>
        </w:r>
        <w:r/>
      </w:p>
      <w:p>
        <w:pPr>
          <w:pStyle w:val="86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</w:r>
        <w:r/>
      </w:p>
    </w:sdtContent>
  </w:sdt>
  <w:p>
    <w:pPr>
      <w:pStyle w:val="8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%1."/>
      <w:lvlJc w:val="center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86"/>
    <w:link w:val="677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86"/>
    <w:link w:val="678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86"/>
    <w:link w:val="679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86"/>
    <w:link w:val="680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86"/>
    <w:link w:val="681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86"/>
    <w:link w:val="682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86"/>
    <w:link w:val="68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86"/>
    <w:link w:val="684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86"/>
    <w:link w:val="685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86"/>
    <w:link w:val="698"/>
    <w:uiPriority w:val="10"/>
    <w:rPr>
      <w:sz w:val="48"/>
      <w:szCs w:val="48"/>
    </w:rPr>
  </w:style>
  <w:style w:type="character" w:styleId="35">
    <w:name w:val="Subtitle Char"/>
    <w:basedOn w:val="686"/>
    <w:link w:val="700"/>
    <w:uiPriority w:val="11"/>
    <w:rPr>
      <w:sz w:val="24"/>
      <w:szCs w:val="24"/>
    </w:rPr>
  </w:style>
  <w:style w:type="character" w:styleId="37">
    <w:name w:val="Quote Char"/>
    <w:link w:val="702"/>
    <w:uiPriority w:val="29"/>
    <w:rPr>
      <w:i/>
    </w:rPr>
  </w:style>
  <w:style w:type="character" w:styleId="39">
    <w:name w:val="Intense Quote Char"/>
    <w:link w:val="704"/>
    <w:uiPriority w:val="30"/>
    <w:rPr>
      <w:i/>
    </w:rPr>
  </w:style>
  <w:style w:type="character" w:styleId="41">
    <w:name w:val="Header Char"/>
    <w:basedOn w:val="686"/>
    <w:link w:val="868"/>
    <w:uiPriority w:val="99"/>
  </w:style>
  <w:style w:type="character" w:styleId="45">
    <w:name w:val="Caption Char"/>
    <w:basedOn w:val="864"/>
    <w:link w:val="869"/>
    <w:uiPriority w:val="99"/>
  </w:style>
  <w:style w:type="character" w:styleId="174">
    <w:name w:val="Footnote Text Char"/>
    <w:link w:val="870"/>
    <w:uiPriority w:val="99"/>
    <w:rPr>
      <w:sz w:val="18"/>
    </w:rPr>
  </w:style>
  <w:style w:type="character" w:styleId="177">
    <w:name w:val="Endnote Text Char"/>
    <w:link w:val="837"/>
    <w:uiPriority w:val="99"/>
    <w:rPr>
      <w:sz w:val="20"/>
    </w:rPr>
  </w:style>
  <w:style w:type="paragraph" w:styleId="676" w:default="1">
    <w:name w:val="Normal"/>
    <w:qFormat/>
    <w:pPr>
      <w:spacing w:after="200" w:line="276" w:lineRule="auto"/>
    </w:pPr>
  </w:style>
  <w:style w:type="paragraph" w:styleId="677">
    <w:name w:val="Heading 1"/>
    <w:basedOn w:val="676"/>
    <w:next w:val="676"/>
    <w:link w:val="689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678">
    <w:name w:val="Heading 2"/>
    <w:basedOn w:val="676"/>
    <w:next w:val="676"/>
    <w:link w:val="690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679">
    <w:name w:val="Heading 3"/>
    <w:basedOn w:val="676"/>
    <w:next w:val="676"/>
    <w:link w:val="691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680">
    <w:name w:val="Heading 4"/>
    <w:basedOn w:val="676"/>
    <w:next w:val="676"/>
    <w:link w:val="692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81">
    <w:name w:val="Heading 5"/>
    <w:basedOn w:val="676"/>
    <w:next w:val="676"/>
    <w:link w:val="693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82">
    <w:name w:val="Heading 6"/>
    <w:basedOn w:val="676"/>
    <w:next w:val="676"/>
    <w:link w:val="694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683">
    <w:name w:val="Heading 7"/>
    <w:basedOn w:val="676"/>
    <w:next w:val="676"/>
    <w:link w:val="695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684">
    <w:name w:val="Heading 8"/>
    <w:basedOn w:val="676"/>
    <w:next w:val="676"/>
    <w:link w:val="696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685">
    <w:name w:val="Heading 9"/>
    <w:basedOn w:val="676"/>
    <w:next w:val="676"/>
    <w:link w:val="697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 w:customStyle="1">
    <w:name w:val="Заголовок 1 Знак"/>
    <w:basedOn w:val="686"/>
    <w:link w:val="677"/>
    <w:uiPriority w:val="9"/>
    <w:rPr>
      <w:rFonts w:ascii="Arial" w:hAnsi="Arial" w:cs="Arial" w:eastAsia="Arial"/>
      <w:sz w:val="40"/>
      <w:szCs w:val="40"/>
    </w:rPr>
  </w:style>
  <w:style w:type="character" w:styleId="690" w:customStyle="1">
    <w:name w:val="Заголовок 2 Знак"/>
    <w:basedOn w:val="686"/>
    <w:link w:val="678"/>
    <w:uiPriority w:val="9"/>
    <w:rPr>
      <w:rFonts w:ascii="Arial" w:hAnsi="Arial" w:cs="Arial" w:eastAsia="Arial"/>
      <w:sz w:val="34"/>
    </w:rPr>
  </w:style>
  <w:style w:type="character" w:styleId="691" w:customStyle="1">
    <w:name w:val="Заголовок 3 Знак"/>
    <w:basedOn w:val="686"/>
    <w:link w:val="679"/>
    <w:uiPriority w:val="9"/>
    <w:rPr>
      <w:rFonts w:ascii="Arial" w:hAnsi="Arial" w:cs="Arial" w:eastAsia="Arial"/>
      <w:sz w:val="30"/>
      <w:szCs w:val="30"/>
    </w:rPr>
  </w:style>
  <w:style w:type="character" w:styleId="692" w:customStyle="1">
    <w:name w:val="Заголовок 4 Знак"/>
    <w:basedOn w:val="686"/>
    <w:link w:val="680"/>
    <w:uiPriority w:val="9"/>
    <w:rPr>
      <w:rFonts w:ascii="Arial" w:hAnsi="Arial" w:cs="Arial" w:eastAsia="Arial"/>
      <w:b/>
      <w:bCs/>
      <w:sz w:val="26"/>
      <w:szCs w:val="26"/>
    </w:rPr>
  </w:style>
  <w:style w:type="character" w:styleId="693" w:customStyle="1">
    <w:name w:val="Заголовок 5 Знак"/>
    <w:basedOn w:val="686"/>
    <w:link w:val="681"/>
    <w:uiPriority w:val="9"/>
    <w:rPr>
      <w:rFonts w:ascii="Arial" w:hAnsi="Arial" w:cs="Arial" w:eastAsia="Arial"/>
      <w:b/>
      <w:bCs/>
      <w:sz w:val="24"/>
      <w:szCs w:val="24"/>
    </w:rPr>
  </w:style>
  <w:style w:type="character" w:styleId="694" w:customStyle="1">
    <w:name w:val="Заголовок 6 Знак"/>
    <w:basedOn w:val="686"/>
    <w:link w:val="682"/>
    <w:uiPriority w:val="9"/>
    <w:rPr>
      <w:rFonts w:ascii="Arial" w:hAnsi="Arial" w:cs="Arial" w:eastAsia="Arial"/>
      <w:b/>
      <w:bCs/>
      <w:sz w:val="22"/>
      <w:szCs w:val="22"/>
    </w:rPr>
  </w:style>
  <w:style w:type="character" w:styleId="695" w:customStyle="1">
    <w:name w:val="Заголовок 7 Знак"/>
    <w:basedOn w:val="686"/>
    <w:link w:val="68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96" w:customStyle="1">
    <w:name w:val="Заголовок 8 Знак"/>
    <w:basedOn w:val="686"/>
    <w:link w:val="684"/>
    <w:uiPriority w:val="9"/>
    <w:rPr>
      <w:rFonts w:ascii="Arial" w:hAnsi="Arial" w:cs="Arial" w:eastAsia="Arial"/>
      <w:i/>
      <w:iCs/>
      <w:sz w:val="22"/>
      <w:szCs w:val="22"/>
    </w:rPr>
  </w:style>
  <w:style w:type="character" w:styleId="697" w:customStyle="1">
    <w:name w:val="Заголовок 9 Знак"/>
    <w:basedOn w:val="686"/>
    <w:link w:val="685"/>
    <w:uiPriority w:val="9"/>
    <w:rPr>
      <w:rFonts w:ascii="Arial" w:hAnsi="Arial" w:cs="Arial" w:eastAsia="Arial"/>
      <w:i/>
      <w:iCs/>
      <w:sz w:val="21"/>
      <w:szCs w:val="21"/>
    </w:rPr>
  </w:style>
  <w:style w:type="paragraph" w:styleId="698">
    <w:name w:val="Title"/>
    <w:basedOn w:val="676"/>
    <w:next w:val="676"/>
    <w:link w:val="699"/>
    <w:uiPriority w:val="10"/>
    <w:qFormat/>
    <w:pPr>
      <w:contextualSpacing/>
      <w:spacing w:before="300"/>
    </w:pPr>
    <w:rPr>
      <w:sz w:val="48"/>
      <w:szCs w:val="48"/>
    </w:rPr>
  </w:style>
  <w:style w:type="character" w:styleId="699" w:customStyle="1">
    <w:name w:val="Название Знак"/>
    <w:basedOn w:val="686"/>
    <w:link w:val="698"/>
    <w:uiPriority w:val="10"/>
    <w:rPr>
      <w:sz w:val="48"/>
      <w:szCs w:val="48"/>
    </w:rPr>
  </w:style>
  <w:style w:type="paragraph" w:styleId="700">
    <w:name w:val="Subtitle"/>
    <w:basedOn w:val="676"/>
    <w:next w:val="676"/>
    <w:link w:val="701"/>
    <w:uiPriority w:val="11"/>
    <w:qFormat/>
    <w:pPr>
      <w:spacing w:before="200"/>
    </w:pPr>
    <w:rPr>
      <w:sz w:val="24"/>
      <w:szCs w:val="24"/>
    </w:rPr>
  </w:style>
  <w:style w:type="character" w:styleId="701" w:customStyle="1">
    <w:name w:val="Подзаголовок Знак"/>
    <w:basedOn w:val="686"/>
    <w:link w:val="700"/>
    <w:uiPriority w:val="11"/>
    <w:rPr>
      <w:sz w:val="24"/>
      <w:szCs w:val="24"/>
    </w:rPr>
  </w:style>
  <w:style w:type="paragraph" w:styleId="702">
    <w:name w:val="Quote"/>
    <w:basedOn w:val="676"/>
    <w:next w:val="676"/>
    <w:link w:val="703"/>
    <w:uiPriority w:val="29"/>
    <w:qFormat/>
    <w:pPr>
      <w:ind w:left="720" w:right="720"/>
    </w:pPr>
    <w:rPr>
      <w:i/>
    </w:rPr>
  </w:style>
  <w:style w:type="character" w:styleId="703" w:customStyle="1">
    <w:name w:val="Цитата 2 Знак"/>
    <w:link w:val="702"/>
    <w:uiPriority w:val="29"/>
    <w:rPr>
      <w:i/>
    </w:rPr>
  </w:style>
  <w:style w:type="paragraph" w:styleId="704">
    <w:name w:val="Intense Quote"/>
    <w:basedOn w:val="676"/>
    <w:next w:val="676"/>
    <w:link w:val="7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 w:customStyle="1">
    <w:name w:val="Выделенная цитата Знак"/>
    <w:link w:val="704"/>
    <w:uiPriority w:val="30"/>
    <w:rPr>
      <w:i/>
    </w:rPr>
  </w:style>
  <w:style w:type="character" w:styleId="706" w:customStyle="1">
    <w:name w:val="Верхний колонтитул Знак1"/>
    <w:basedOn w:val="686"/>
    <w:link w:val="868"/>
    <w:uiPriority w:val="99"/>
  </w:style>
  <w:style w:type="character" w:styleId="707" w:customStyle="1">
    <w:name w:val="Footer Char"/>
    <w:basedOn w:val="686"/>
    <w:uiPriority w:val="99"/>
  </w:style>
  <w:style w:type="character" w:styleId="708" w:customStyle="1">
    <w:name w:val="Нижний колонтитул Знак1"/>
    <w:link w:val="869"/>
    <w:uiPriority w:val="99"/>
  </w:style>
  <w:style w:type="table" w:styleId="709" w:customStyle="1">
    <w:name w:val="Table Grid Light"/>
    <w:basedOn w:val="68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0" w:customStyle="1">
    <w:name w:val="Plain Table 1"/>
    <w:basedOn w:val="68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 w:customStyle="1">
    <w:name w:val="Plain Table 2"/>
    <w:basedOn w:val="68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 w:customStyle="1">
    <w:name w:val="Plain Table 3"/>
    <w:basedOn w:val="68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 w:customStyle="1">
    <w:name w:val="Plain Table 4"/>
    <w:basedOn w:val="68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Plain Table 5"/>
    <w:basedOn w:val="68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1 Light"/>
    <w:basedOn w:val="68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1"/>
    <w:basedOn w:val="68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2"/>
    <w:basedOn w:val="68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3"/>
    <w:basedOn w:val="68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4"/>
    <w:basedOn w:val="68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5"/>
    <w:basedOn w:val="68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6"/>
    <w:basedOn w:val="68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2"/>
    <w:basedOn w:val="68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1"/>
    <w:basedOn w:val="68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2"/>
    <w:basedOn w:val="68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3"/>
    <w:basedOn w:val="68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4"/>
    <w:basedOn w:val="68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5"/>
    <w:basedOn w:val="68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6"/>
    <w:basedOn w:val="68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"/>
    <w:basedOn w:val="68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1"/>
    <w:basedOn w:val="68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2"/>
    <w:basedOn w:val="68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3"/>
    <w:basedOn w:val="68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4"/>
    <w:basedOn w:val="68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5"/>
    <w:basedOn w:val="68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6"/>
    <w:basedOn w:val="68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4"/>
    <w:basedOn w:val="68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 w:customStyle="1">
    <w:name w:val="Grid Table 4 - Accent 1"/>
    <w:basedOn w:val="68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8" w:customStyle="1">
    <w:name w:val="Grid Table 4 - Accent 2"/>
    <w:basedOn w:val="68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9" w:customStyle="1">
    <w:name w:val="Grid Table 4 - Accent 3"/>
    <w:basedOn w:val="68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0" w:customStyle="1">
    <w:name w:val="Grid Table 4 - Accent 4"/>
    <w:basedOn w:val="68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1" w:customStyle="1">
    <w:name w:val="Grid Table 4 - Accent 5"/>
    <w:basedOn w:val="68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2" w:customStyle="1">
    <w:name w:val="Grid Table 4 - Accent 6"/>
    <w:basedOn w:val="68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3" w:customStyle="1">
    <w:name w:val="Grid Table 5 Dark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1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2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3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4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5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6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6 Colorful"/>
    <w:basedOn w:val="68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1" w:customStyle="1">
    <w:name w:val="Grid Table 6 Colorful - Accent 1"/>
    <w:basedOn w:val="68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2" w:customStyle="1">
    <w:name w:val="Grid Table 6 Colorful - Accent 2"/>
    <w:basedOn w:val="68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3" w:customStyle="1">
    <w:name w:val="Grid Table 6 Colorful - Accent 3"/>
    <w:basedOn w:val="68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4" w:customStyle="1">
    <w:name w:val="Grid Table 6 Colorful - Accent 4"/>
    <w:basedOn w:val="68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5" w:customStyle="1">
    <w:name w:val="Grid Table 6 Colorful - Accent 5"/>
    <w:basedOn w:val="68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6" w:customStyle="1">
    <w:name w:val="Grid Table 6 Colorful - Accent 6"/>
    <w:basedOn w:val="68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Grid Table 7 Colorful"/>
    <w:basedOn w:val="68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8" w:customStyle="1">
    <w:name w:val="Grid Table 7 Colorful - Accent 1"/>
    <w:basedOn w:val="68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9" w:customStyle="1">
    <w:name w:val="Grid Table 7 Colorful - Accent 2"/>
    <w:basedOn w:val="68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0" w:customStyle="1">
    <w:name w:val="Grid Table 7 Colorful - Accent 3"/>
    <w:basedOn w:val="68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1" w:customStyle="1">
    <w:name w:val="Grid Table 7 Colorful - Accent 4"/>
    <w:basedOn w:val="68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2" w:customStyle="1">
    <w:name w:val="Grid Table 7 Colorful - Accent 5"/>
    <w:basedOn w:val="68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3" w:customStyle="1">
    <w:name w:val="Grid Table 7 Colorful - Accent 6"/>
    <w:basedOn w:val="68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4" w:customStyle="1">
    <w:name w:val="List Table 1 Light"/>
    <w:basedOn w:val="68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1"/>
    <w:basedOn w:val="68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2"/>
    <w:basedOn w:val="68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3"/>
    <w:basedOn w:val="68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4"/>
    <w:basedOn w:val="68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5"/>
    <w:basedOn w:val="68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6"/>
    <w:basedOn w:val="68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2"/>
    <w:basedOn w:val="68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1"/>
    <w:basedOn w:val="68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2"/>
    <w:basedOn w:val="68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3"/>
    <w:basedOn w:val="68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4"/>
    <w:basedOn w:val="68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5"/>
    <w:basedOn w:val="68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6"/>
    <w:basedOn w:val="68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8" w:customStyle="1">
    <w:name w:val="List Table 3"/>
    <w:basedOn w:val="68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1"/>
    <w:basedOn w:val="68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2"/>
    <w:basedOn w:val="68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3"/>
    <w:basedOn w:val="68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4"/>
    <w:basedOn w:val="68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5"/>
    <w:basedOn w:val="68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6"/>
    <w:basedOn w:val="68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"/>
    <w:basedOn w:val="68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1"/>
    <w:basedOn w:val="68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2"/>
    <w:basedOn w:val="68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3"/>
    <w:basedOn w:val="68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4"/>
    <w:basedOn w:val="68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5"/>
    <w:basedOn w:val="68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6"/>
    <w:basedOn w:val="68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5 Dark"/>
    <w:basedOn w:val="68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1"/>
    <w:basedOn w:val="68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2"/>
    <w:basedOn w:val="68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3"/>
    <w:basedOn w:val="68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4"/>
    <w:basedOn w:val="68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5"/>
    <w:basedOn w:val="68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6"/>
    <w:basedOn w:val="68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6 Colorful"/>
    <w:basedOn w:val="68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0" w:customStyle="1">
    <w:name w:val="List Table 6 Colorful - Accent 1"/>
    <w:basedOn w:val="68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1" w:customStyle="1">
    <w:name w:val="List Table 6 Colorful - Accent 2"/>
    <w:basedOn w:val="68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2" w:customStyle="1">
    <w:name w:val="List Table 6 Colorful - Accent 3"/>
    <w:basedOn w:val="68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3" w:customStyle="1">
    <w:name w:val="List Table 6 Colorful - Accent 4"/>
    <w:basedOn w:val="68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4" w:customStyle="1">
    <w:name w:val="List Table 6 Colorful - Accent 5"/>
    <w:basedOn w:val="68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5" w:customStyle="1">
    <w:name w:val="List Table 6 Colorful - Accent 6"/>
    <w:basedOn w:val="68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6" w:customStyle="1">
    <w:name w:val="List Table 7 Colorful"/>
    <w:basedOn w:val="68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List Table 7 Colorful - Accent 1"/>
    <w:basedOn w:val="68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List Table 7 Colorful - Accent 2"/>
    <w:basedOn w:val="68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List Table 7 Colorful - Accent 3"/>
    <w:basedOn w:val="68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List Table 7 Colorful - Accent 4"/>
    <w:basedOn w:val="68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List Table 7 Colorful - Accent 5"/>
    <w:basedOn w:val="68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List Table 7 Colorful - Accent 6"/>
    <w:basedOn w:val="68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Lined - Accent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Lined - Accent 1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5" w:customStyle="1">
    <w:name w:val="Lined - Accent 2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6" w:customStyle="1">
    <w:name w:val="Lined - Accent 3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7" w:customStyle="1">
    <w:name w:val="Lined - Accent 4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8" w:customStyle="1">
    <w:name w:val="Lined - Accent 5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9" w:customStyle="1">
    <w:name w:val="Lined - Accent 6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0" w:customStyle="1">
    <w:name w:val="Bordered &amp; Lined - Accent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Bordered &amp; Lined - Accent 1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Bordered &amp; Lined - Accent 2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Bordered &amp; Lined - Accent 3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Bordered &amp; Lined - Accent 4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Bordered &amp; Lined - Accent 5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Bordered &amp; Lined - Accent 6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"/>
    <w:basedOn w:val="68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8" w:customStyle="1">
    <w:name w:val="Bordered - Accent 1"/>
    <w:basedOn w:val="68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9" w:customStyle="1">
    <w:name w:val="Bordered - Accent 2"/>
    <w:basedOn w:val="68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0" w:customStyle="1">
    <w:name w:val="Bordered - Accent 3"/>
    <w:basedOn w:val="68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1" w:customStyle="1">
    <w:name w:val="Bordered - Accent 4"/>
    <w:basedOn w:val="68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2" w:customStyle="1">
    <w:name w:val="Bordered - Accent 5"/>
    <w:basedOn w:val="68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3" w:customStyle="1">
    <w:name w:val="Bordered - Accent 6"/>
    <w:basedOn w:val="68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character" w:styleId="835" w:customStyle="1">
    <w:name w:val="Текст сноски Знак1"/>
    <w:link w:val="870"/>
    <w:uiPriority w:val="99"/>
    <w:rPr>
      <w:sz w:val="18"/>
    </w:rPr>
  </w:style>
  <w:style w:type="character" w:styleId="836">
    <w:name w:val="footnote reference"/>
    <w:basedOn w:val="686"/>
    <w:uiPriority w:val="99"/>
    <w:unhideWhenUsed/>
    <w:rPr>
      <w:vertAlign w:val="superscript"/>
    </w:rPr>
  </w:style>
  <w:style w:type="paragraph" w:styleId="837">
    <w:name w:val="endnote text"/>
    <w:basedOn w:val="676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basedOn w:val="686"/>
    <w:uiPriority w:val="99"/>
    <w:semiHidden/>
    <w:unhideWhenUsed/>
    <w:rPr>
      <w:vertAlign w:val="superscript"/>
    </w:rPr>
  </w:style>
  <w:style w:type="paragraph" w:styleId="840">
    <w:name w:val="toc 1"/>
    <w:basedOn w:val="676"/>
    <w:next w:val="676"/>
    <w:uiPriority w:val="39"/>
    <w:unhideWhenUsed/>
    <w:pPr>
      <w:spacing w:after="57"/>
    </w:pPr>
  </w:style>
  <w:style w:type="paragraph" w:styleId="841">
    <w:name w:val="toc 2"/>
    <w:basedOn w:val="676"/>
    <w:next w:val="676"/>
    <w:uiPriority w:val="39"/>
    <w:unhideWhenUsed/>
    <w:pPr>
      <w:ind w:left="283"/>
      <w:spacing w:after="57"/>
    </w:pPr>
  </w:style>
  <w:style w:type="paragraph" w:styleId="842">
    <w:name w:val="toc 3"/>
    <w:basedOn w:val="676"/>
    <w:next w:val="676"/>
    <w:uiPriority w:val="39"/>
    <w:unhideWhenUsed/>
    <w:pPr>
      <w:ind w:left="567"/>
      <w:spacing w:after="57"/>
    </w:pPr>
  </w:style>
  <w:style w:type="paragraph" w:styleId="843">
    <w:name w:val="toc 4"/>
    <w:basedOn w:val="676"/>
    <w:next w:val="676"/>
    <w:uiPriority w:val="39"/>
    <w:unhideWhenUsed/>
    <w:pPr>
      <w:ind w:left="850"/>
      <w:spacing w:after="57"/>
    </w:pPr>
  </w:style>
  <w:style w:type="paragraph" w:styleId="844">
    <w:name w:val="toc 5"/>
    <w:basedOn w:val="676"/>
    <w:next w:val="676"/>
    <w:uiPriority w:val="39"/>
    <w:unhideWhenUsed/>
    <w:pPr>
      <w:ind w:left="1134"/>
      <w:spacing w:after="57"/>
    </w:pPr>
  </w:style>
  <w:style w:type="paragraph" w:styleId="845">
    <w:name w:val="toc 6"/>
    <w:basedOn w:val="676"/>
    <w:next w:val="676"/>
    <w:uiPriority w:val="39"/>
    <w:unhideWhenUsed/>
    <w:pPr>
      <w:ind w:left="1417"/>
      <w:spacing w:after="57"/>
    </w:pPr>
  </w:style>
  <w:style w:type="paragraph" w:styleId="846">
    <w:name w:val="toc 7"/>
    <w:basedOn w:val="676"/>
    <w:next w:val="676"/>
    <w:uiPriority w:val="39"/>
    <w:unhideWhenUsed/>
    <w:pPr>
      <w:ind w:left="1701"/>
      <w:spacing w:after="57"/>
    </w:pPr>
  </w:style>
  <w:style w:type="paragraph" w:styleId="847">
    <w:name w:val="toc 8"/>
    <w:basedOn w:val="676"/>
    <w:next w:val="676"/>
    <w:uiPriority w:val="39"/>
    <w:unhideWhenUsed/>
    <w:pPr>
      <w:ind w:left="1984"/>
      <w:spacing w:after="57"/>
    </w:pPr>
  </w:style>
  <w:style w:type="paragraph" w:styleId="848">
    <w:name w:val="toc 9"/>
    <w:basedOn w:val="676"/>
    <w:next w:val="676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76"/>
    <w:next w:val="676"/>
    <w:uiPriority w:val="99"/>
    <w:unhideWhenUsed/>
    <w:pPr>
      <w:spacing w:after="0"/>
    </w:pPr>
  </w:style>
  <w:style w:type="character" w:styleId="851" w:customStyle="1">
    <w:name w:val="Верхний колонтитул Знак"/>
    <w:basedOn w:val="686"/>
    <w:uiPriority w:val="99"/>
    <w:qFormat/>
  </w:style>
  <w:style w:type="character" w:styleId="852" w:customStyle="1">
    <w:name w:val="Нижний колонтитул Знак"/>
    <w:basedOn w:val="686"/>
    <w:uiPriority w:val="99"/>
    <w:qFormat/>
  </w:style>
  <w:style w:type="character" w:styleId="853" w:customStyle="1">
    <w:name w:val="Текст сноски Знак"/>
    <w:basedOn w:val="686"/>
    <w:uiPriority w:val="99"/>
    <w:semiHidden/>
    <w:qFormat/>
    <w:rPr>
      <w:sz w:val="20"/>
      <w:szCs w:val="20"/>
    </w:rPr>
  </w:style>
  <w:style w:type="character" w:styleId="854" w:customStyle="1">
    <w:name w:val="Привязка сноски"/>
    <w:rPr>
      <w:vertAlign w:val="superscript"/>
    </w:rPr>
  </w:style>
  <w:style w:type="character" w:styleId="855" w:customStyle="1">
    <w:name w:val="Footnote Characters"/>
    <w:basedOn w:val="686"/>
    <w:uiPriority w:val="99"/>
    <w:semiHidden/>
    <w:unhideWhenUsed/>
    <w:qFormat/>
    <w:rPr>
      <w:vertAlign w:val="superscript"/>
    </w:rPr>
  </w:style>
  <w:style w:type="character" w:styleId="856" w:customStyle="1">
    <w:name w:val="Интернет-ссылка"/>
    <w:rPr>
      <w:color w:val="000080"/>
      <w:u w:val="single"/>
    </w:rPr>
  </w:style>
  <w:style w:type="character" w:styleId="857" w:customStyle="1">
    <w:name w:val="Символ нумерации"/>
    <w:qFormat/>
  </w:style>
  <w:style w:type="character" w:styleId="858" w:customStyle="1">
    <w:name w:val="Символ сноски"/>
    <w:qFormat/>
  </w:style>
  <w:style w:type="character" w:styleId="859" w:customStyle="1">
    <w:name w:val="Привязка концевой сноски"/>
    <w:rPr>
      <w:vertAlign w:val="superscript"/>
    </w:rPr>
  </w:style>
  <w:style w:type="character" w:styleId="860" w:customStyle="1">
    <w:name w:val="Символ концевой сноски"/>
    <w:qFormat/>
  </w:style>
  <w:style w:type="paragraph" w:styleId="861" w:customStyle="1">
    <w:name w:val="Заголовок"/>
    <w:basedOn w:val="676"/>
    <w:next w:val="862"/>
    <w:qFormat/>
    <w:pPr>
      <w:keepNext/>
      <w:spacing w:before="240" w:after="120"/>
    </w:pPr>
    <w:rPr>
      <w:rFonts w:ascii="Liberation Sans" w:hAnsi="Liberation Sans" w:cs="Droid Sans Devanagari" w:eastAsia="Tahoma"/>
      <w:sz w:val="28"/>
      <w:szCs w:val="28"/>
    </w:rPr>
  </w:style>
  <w:style w:type="paragraph" w:styleId="862">
    <w:name w:val="Body Text"/>
    <w:basedOn w:val="676"/>
    <w:pPr>
      <w:spacing w:after="140"/>
    </w:pPr>
  </w:style>
  <w:style w:type="paragraph" w:styleId="863">
    <w:name w:val="List"/>
    <w:basedOn w:val="862"/>
    <w:rPr>
      <w:rFonts w:cs="Droid Sans Devanagari"/>
    </w:rPr>
  </w:style>
  <w:style w:type="paragraph" w:styleId="864">
    <w:name w:val="Caption"/>
    <w:basedOn w:val="676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65">
    <w:name w:val="index heading"/>
    <w:basedOn w:val="676"/>
    <w:qFormat/>
    <w:pPr>
      <w:suppressLineNumbers/>
    </w:pPr>
    <w:rPr>
      <w:rFonts w:cs="Droid Sans Devanagari"/>
    </w:rPr>
  </w:style>
  <w:style w:type="paragraph" w:styleId="866">
    <w:name w:val="No Spacing"/>
    <w:qFormat/>
  </w:style>
  <w:style w:type="paragraph" w:styleId="867" w:customStyle="1">
    <w:name w:val="Колонтитул"/>
    <w:basedOn w:val="676"/>
    <w:qFormat/>
  </w:style>
  <w:style w:type="paragraph" w:styleId="868">
    <w:name w:val="Header"/>
    <w:basedOn w:val="676"/>
    <w:link w:val="7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69">
    <w:name w:val="Footer"/>
    <w:basedOn w:val="676"/>
    <w:link w:val="7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70">
    <w:name w:val="footnote text"/>
    <w:basedOn w:val="676"/>
    <w:link w:val="835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871" w:customStyle="1">
    <w:name w:val="ConsPlusNonformat"/>
    <w:uiPriority w:val="99"/>
    <w:qFormat/>
    <w:pPr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872" w:customStyle="1">
    <w:name w:val="ConsPlusNormal"/>
    <w:qFormat/>
    <w:pPr>
      <w:widowControl w:val="off"/>
    </w:pPr>
    <w:rPr>
      <w:rFonts w:cs="Calibri" w:eastAsia="Times New Roman"/>
      <w:szCs w:val="20"/>
      <w:lang w:eastAsia="ru-RU"/>
    </w:rPr>
  </w:style>
  <w:style w:type="paragraph" w:styleId="873">
    <w:name w:val="List Paragraph"/>
    <w:basedOn w:val="676"/>
    <w:uiPriority w:val="34"/>
    <w:qFormat/>
    <w:pPr>
      <w:contextualSpacing/>
      <w:ind w:left="720"/>
      <w:spacing w:after="160" w:line="259" w:lineRule="auto"/>
    </w:pPr>
  </w:style>
  <w:style w:type="paragraph" w:styleId="874" w:customStyle="1">
    <w:name w:val="Содержимое таблицы"/>
    <w:basedOn w:val="676"/>
    <w:qFormat/>
    <w:pPr>
      <w:widowControl w:val="off"/>
      <w:suppressLineNumbers/>
    </w:pPr>
  </w:style>
  <w:style w:type="paragraph" w:styleId="875" w:customStyle="1">
    <w:name w:val="Заголовок таблицы"/>
    <w:basedOn w:val="874"/>
    <w:qFormat/>
    <w:pPr>
      <w:jc w:val="center"/>
    </w:pPr>
    <w:rPr>
      <w:b/>
      <w:bCs/>
    </w:rPr>
  </w:style>
  <w:style w:type="paragraph" w:styleId="876" w:customStyle="1">
    <w:name w:val="Верхний колонтитул слева"/>
    <w:basedOn w:val="868"/>
    <w:qFormat/>
    <w:pPr>
      <w:tabs>
        <w:tab w:val="clear" w:pos="4677" w:leader="none"/>
        <w:tab w:val="center" w:pos="5386" w:leader="none"/>
        <w:tab w:val="clear" w:pos="9355" w:leader="none"/>
        <w:tab w:val="right" w:pos="10772" w:leader="none"/>
      </w:tabs>
      <w:suppressLineNumbers/>
    </w:pPr>
  </w:style>
  <w:style w:type="table" w:styleId="877">
    <w:name w:val="Table Grid"/>
    <w:basedOn w:val="687"/>
    <w:uiPriority w:val="59"/>
    <w:rPr>
      <w:rFonts w:eastAsiaTheme="minorEastAsia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8">
    <w:name w:val="Balloon Text"/>
    <w:basedOn w:val="676"/>
    <w:link w:val="87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9" w:customStyle="1">
    <w:name w:val="Текст выноски Знак"/>
    <w:basedOn w:val="686"/>
    <w:link w:val="87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B3EA88F0-885F-4BD3-B310-8872F996B8A6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ДЖАНАЕВА ВЕРОНИКА БАТРАЗОВНА</dc:creator>
  <dc:description/>
  <dc:language>ru-RU</dc:language>
  <cp:revision>40</cp:revision>
  <dcterms:created xsi:type="dcterms:W3CDTF">2022-10-04T08:33:00Z</dcterms:created>
  <dcterms:modified xsi:type="dcterms:W3CDTF">2024-10-14T11:09:06Z</dcterms:modified>
</cp:coreProperties>
</file>