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50"/>
          <w:sz w:val="28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Доклад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статс-секретаря – заместителя министра транспорта РФ Дмитри</w:t>
      </w:r>
      <w:r>
        <w:rPr>
          <w:sz w:val="28"/>
        </w:rPr>
        <w:t>я</w:t>
      </w:r>
      <w:r>
        <w:rPr>
          <w:sz w:val="28"/>
        </w:rPr>
        <w:t xml:space="preserve"> Зверева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на итоговом заседании коллегии Минтранса России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«О результатах законопроектной деятельности Министерства транспорта Российской Федерации в 2020 году и о Плане законопроектной деятельности Министерства транспорта Российской Федерации на 2021 год»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Уважаемый Виталий Геннадьевич!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Уважаемые члены коллегии, гости!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Важность такого инструмента или института, как нормативная база, сегодня уже отметили, поэтому на ежегодной коллегии с высокой трибуны мы докладываем о результатах проделанной работы и наших перспективных планах.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 xml:space="preserve">Прежде чем перейти к планам законопроектной деятельности на 2021 год кратко проинформировал бы о результатах 2020-го года, часть из них уже сегодня были отмечены, как прорывные. Пакетно приняты законы по развитию платных дорог и внедрению института «свободный поток». Входящий в пакет закон о внесении изменений в Кодекс Российской Федерации об административных правонарушениях по сути дела не только ввел принципиально новый механизм, но и решил достаточно долго существующую дилемму – разграничение гражданско-правовой и административно-правовой ответственности.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  <w:shd w:fill="FEFEFE" w:val="clear"/>
        </w:rPr>
        <w:t xml:space="preserve">Принятие закона о внесении изменений в Воздушный кодекс Российской Федерации исключило необходимость лицензирования деятельности </w:t>
      </w:r>
      <w:r>
        <w:rPr>
          <w:sz w:val="28"/>
        </w:rPr>
        <w:t>по перевозкам воздушным транспортом пассажиров и грузов, тем самым упразднив избыточное регулирование.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Депутатская инициатива разработки федерального закона об особенностях регулирования отношений в целях модернизации и расширения магистральной инфраструктуры и итоговые поправки Правительства Российской Федерации позволили создать специальный правовой режим создания объектов в рамках национальных проектов. Правоприменительная практика реализации этого закона подтвердила своевременность и востребованность установленного им регулирования.</w:t>
      </w:r>
    </w:p>
    <w:p>
      <w:pPr>
        <w:pStyle w:val="Normal"/>
        <w:spacing w:lineRule="auto" w:line="276"/>
        <w:ind w:firstLine="709"/>
        <w:jc w:val="both"/>
        <w:rPr>
          <w:color w:val="111111"/>
          <w:sz w:val="28"/>
          <w:shd w:fill="FDFDFD" w:val="clear"/>
        </w:rPr>
      </w:pPr>
      <w:r>
        <w:rPr>
          <w:sz w:val="28"/>
        </w:rPr>
        <w:t>Безусловно, следующим шагом будет принятие федерального закона в части устранения избыточных норм и урегулирования отношений с владельцами инженерных коммуникаций. Уверен, что действительно мы объединим усилия, и данный федеральный закон выйдет в ближайшее время.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 xml:space="preserve">Нормотворческая деятельность Минтранса России по изданию подзаконных актов в 2020 году с одной стороны прошла под эгидой исполнения поручения Председателя Правительства Российской Федерации по ликвидации задолженностей по ранее принятым федеральным законам, усиленным Парламентским контролем, а также переизданием нормативно-правовых актов в рамках механизма «регуляторной гильотины». 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 xml:space="preserve">В результате принято 233 акта Правительства Российской Федерации, издано 174 ведомственных акта, которые зарегистрированы Министерством юстиции Российской Федерации. </w:t>
      </w:r>
      <w:r>
        <w:rPr>
          <w:sz w:val="28"/>
        </w:rPr>
        <w:t>С</w:t>
      </w:r>
      <w:r>
        <w:rPr>
          <w:sz w:val="28"/>
        </w:rPr>
        <w:t xml:space="preserve">ледует отметить, что 73 акта из них направлены на актуализацию обязательных требований. Если говорить в целом о результате реформы </w:t>
      </w:r>
      <w:r>
        <w:rPr>
          <w:color w:val="000000" w:themeColor="text1"/>
          <w:sz w:val="28"/>
          <w:highlight w:val="white"/>
        </w:rPr>
        <w:t>под названием «регуляторная гильотина», который привел Аналитический центр при Правительстве Российской Федерации, в рамках которой было доложено президенту о сокращении обязательных требований на 33%, всего было отменено 3003 нормативно-правовых акта и принято 447. Из этого количества, следует отметить, что Минтранс России отменил 815 нормативных правовых актов и переиздал 73 акта (55 ведомственных актов и 18 актов Правительства Российской Федерации).</w:t>
      </w:r>
      <w:r>
        <w:rPr>
          <w:color w:val="000000" w:themeColor="text1"/>
          <w:sz w:val="28"/>
        </w:rPr>
        <w:t xml:space="preserve"> По сути дела, из общего объема «регуляторной гильотины» по всей стране одну четверть выполнил Минтранс России.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 xml:space="preserve">Пользуясь возможностью, с высокой трибуны и в этом составе </w:t>
      </w:r>
      <w:r>
        <w:rPr>
          <w:sz w:val="28"/>
        </w:rPr>
        <w:t xml:space="preserve">хочу </w:t>
      </w:r>
      <w:r>
        <w:rPr>
          <w:sz w:val="28"/>
        </w:rPr>
        <w:t xml:space="preserve">поблагодарить за эту работу сопредседателей, секретарей </w:t>
      </w:r>
      <w:r>
        <w:rPr>
          <w:sz w:val="28"/>
        </w:rPr>
        <w:t>и</w:t>
      </w:r>
      <w:r>
        <w:rPr>
          <w:sz w:val="28"/>
        </w:rPr>
        <w:t xml:space="preserve"> членов рабочих групп, за желание идти на компромисс и выработать лучшую модель. Уверен, что наработанный опыт послужит залогом продолжения нашей совместной работы уже по реализации следующей реформы, объявленной Правительством, 2021 год – это год реформы разрешительной деятельности.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 xml:space="preserve">Кратко остановлюсь на планах на 2021 год, часть из них уже были упомянуты, тем не менее. В периметре работы 71 законопроект. В Плане Правительства Российской Федерации закреплены 23 инициативы, внесенные Минтрансом России. Разработка 19 законопроектов - это прямые поручения Президента Российской Федерации и Председателя Правительства Российской Федерации.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В 2021 году мы меняем подход системный, переходим от точечных изменений, которых, действительно, было много, хотя они тоже будут, к новой кодификации и систематизации. Вносится в Государственную Думу законопроект «О прямых и смешанных перевозках» - он направлен на формирование правовых основ осуществления перевозок пассажиров и грузов разными видами транспорта по единому перевозочному документу.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Подготовлен к внесению в Правительство Российской Федерации проект закона «Об автомобильном транспорте и городском наземном электрическом транспорте». Не менее важен и проект федерального закона о внеуличном транспорте. Это фундаменты модели правового регулирования в указанной отрасли.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Принятие закона «О транзитных перевозках» позволит максимально использовать потенциал российской транспортной системы и российских компаний на международных транспортных коридорах. Работа над законопроектом начиналась в рамках депутатской инициативы Комитета по транспорту при непосредственном участии Правительства, Совета Федерации и Минтранса России. Работа над поправками Правительства завершена, ожидаем их направления в Государственную Думу в текущем месяце.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rStyle w:val="11"/>
          <w:sz w:val="28"/>
        </w:rPr>
        <w:t xml:space="preserve">В сфере дорожного хозяйства ряд инициатив внесен в Правительство, и уже часть на площадке Государственной Думы. В первую очередь это изменения в закон об автомобильных дорогах в целях внедрения системы контроля за формированием и использованием средств дорожных фондов. Федеральная государственная информационная система обеспечит сбор, хранение и использование информации об автомобильных дорогах общего пользования.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Это наши ключевые законотворческие планы. Результативность которых на сегодняшний день характеризуется следующими показателями: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В Правительство Российской Федерации внесено 15 законопроектов, по которым идет совместная конструктивная работа. В Государственной Думе рассматриваются 28 законопроектов, внесенных Правительством в сфере транспорта. Сегодня мы получили новые поручения, это касается, в первую очередь, проекта федерального закона по переносу коммуникаций, далее проект федерального закона по зонам с особыми условиями использования территорий, в первую очередь, приаэродромной территории.</w:t>
      </w:r>
    </w:p>
    <w:p>
      <w:pPr>
        <w:pStyle w:val="Normal"/>
        <w:spacing w:lineRule="auto" w:line="276"/>
        <w:ind w:firstLine="708"/>
        <w:jc w:val="both"/>
        <w:rPr>
          <w:sz w:val="28"/>
        </w:rPr>
      </w:pPr>
      <w:r>
        <w:rPr>
          <w:sz w:val="28"/>
        </w:rPr>
        <w:t>Коллеги, я завершил доклад по теме своего выступления. Еще раз поблагодарил бы за конструктивное и системное взаимодействие депутатов Государственной Думы, в первую очередь, лично Евгения Сергеевича Москвичёва, профильный комитет по экономической политике Совета Федерации, представителей Президента и Правительства, представителей Федерального собрания, это наш законотворческий процесс. Благодарю за внимание!</w:t>
      </w:r>
    </w:p>
    <w:sectPr>
      <w:headerReference w:type="default" r:id="rId2"/>
      <w:headerReference w:type="first" r:id="rId3"/>
      <w:type w:val="nextPage"/>
      <w:pgSz w:w="11906" w:h="16838"/>
      <w:pgMar w:left="1134" w:right="567" w:header="567" w:top="1134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5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i/>
        <w:i/>
        <w:sz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link w:val="11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link w:val="20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link w:val="30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link w:val="40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link w:val="50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4"/>
    <w:qFormat/>
    <w:rPr/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Annotationreference">
    <w:name w:val="annotation reference"/>
    <w:basedOn w:val="DefaultParagraphFont"/>
    <w:link w:val="12"/>
    <w:qFormat/>
    <w:rPr>
      <w:sz w:val="16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9">
    <w:name w:val="Интернет-ссылка"/>
    <w:link w:val="16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color w:val="757575"/>
      <w:sz w:val="20"/>
    </w:rPr>
  </w:style>
  <w:style w:type="character" w:styleId="13" w:customStyle="1">
    <w:name w:val="Оглавление 1 Знак"/>
    <w:link w:val="17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0" w:customStyle="1">
    <w:name w:val="Абзац списка Знак"/>
    <w:basedOn w:val="11"/>
    <w:link w:val="a5"/>
    <w:qFormat/>
    <w:rPr>
      <w:rFonts w:ascii="Arial" w:hAnsi="Arial"/>
      <w:color w:val="000000"/>
      <w:sz w:val="22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Style11" w:customStyle="1">
    <w:name w:val="Тема примечания Знак"/>
    <w:basedOn w:val="Style14"/>
    <w:link w:val="a7"/>
    <w:qFormat/>
    <w:rPr>
      <w:b/>
      <w:sz w:val="20"/>
    </w:rPr>
  </w:style>
  <w:style w:type="character" w:styleId="Style12" w:customStyle="1">
    <w:name w:val="Верхний колонтитул Знак"/>
    <w:basedOn w:val="11"/>
    <w:link w:val="ab"/>
    <w:qFormat/>
    <w:rPr>
      <w:sz w:val="24"/>
    </w:rPr>
  </w:style>
  <w:style w:type="character" w:styleId="52" w:customStyle="1">
    <w:name w:val="Оглавление 5 Знак"/>
    <w:link w:val="51"/>
    <w:qFormat/>
    <w:rPr/>
  </w:style>
  <w:style w:type="character" w:styleId="PF" w:customStyle="1">
    <w:name w:val="ОбычныйP/F"/>
    <w:link w:val="PF"/>
    <w:qFormat/>
    <w:rPr/>
  </w:style>
  <w:style w:type="character" w:styleId="Style13" w:customStyle="1">
    <w:name w:val="Текст выноски Знак"/>
    <w:basedOn w:val="11"/>
    <w:link w:val="af"/>
    <w:qFormat/>
    <w:rPr>
      <w:rFonts w:ascii="Tahoma" w:hAnsi="Tahoma"/>
      <w:sz w:val="16"/>
    </w:rPr>
  </w:style>
  <w:style w:type="character" w:styleId="Style14" w:customStyle="1">
    <w:name w:val="Текст примечания Знак"/>
    <w:basedOn w:val="11"/>
    <w:link w:val="a8"/>
    <w:qFormat/>
    <w:rPr>
      <w:sz w:val="20"/>
    </w:rPr>
  </w:style>
  <w:style w:type="character" w:styleId="Style15" w:customStyle="1">
    <w:name w:val="Обычный (веб) Знак"/>
    <w:basedOn w:val="11"/>
    <w:link w:val="af1"/>
    <w:qFormat/>
    <w:rPr>
      <w:sz w:val="24"/>
    </w:rPr>
  </w:style>
  <w:style w:type="character" w:styleId="Style16" w:customStyle="1">
    <w:name w:val="Нижний колонтитул Знак"/>
    <w:basedOn w:val="11"/>
    <w:link w:val="af3"/>
    <w:qFormat/>
    <w:rPr>
      <w:sz w:val="24"/>
    </w:rPr>
  </w:style>
  <w:style w:type="character" w:styleId="Style17" w:customStyle="1">
    <w:name w:val="Подзаголовок Знак"/>
    <w:link w:val="af5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8" w:customStyle="1">
    <w:name w:val="Название Знак"/>
    <w:link w:val="af7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23">
    <w:name w:val="TOC 2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Знак примечания1"/>
    <w:basedOn w:val="15"/>
    <w:link w:val="a3"/>
    <w:qFormat/>
    <w:pPr/>
    <w:rPr>
      <w:sz w:val="16"/>
    </w:rPr>
  </w:style>
  <w:style w:type="paragraph" w:styleId="15" w:customStyle="1">
    <w:name w:val="Основной шрифт абзаца1"/>
    <w:link w:val="3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бычный1"/>
    <w:link w:val="1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Гиперссылка1"/>
    <w:link w:val="a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757575"/>
      <w:kern w:val="0"/>
      <w:sz w:val="20"/>
      <w:szCs w:val="20"/>
      <w:lang w:val="ru-RU" w:eastAsia="ru-RU" w:bidi="ar-SA"/>
    </w:rPr>
  </w:style>
  <w:style w:type="paragraph" w:styleId="18">
    <w:name w:val="TOC 1"/>
    <w:link w:val="18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Верхний и нижний колонтитулы"/>
    <w:link w:val="HeaderandFooter0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6"/>
    <w:qFormat/>
    <w:pPr>
      <w:spacing w:lineRule="auto" w:line="276" w:before="0" w:after="0"/>
      <w:ind w:left="720" w:hanging="0"/>
      <w:contextualSpacing/>
    </w:pPr>
    <w:rPr>
      <w:rFonts w:ascii="Arial" w:hAnsi="Arial"/>
      <w:sz w:val="22"/>
    </w:rPr>
  </w:style>
  <w:style w:type="paragraph" w:styleId="91">
    <w:name w:val="TOC 9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a9"/>
    <w:qFormat/>
    <w:pPr/>
    <w:rPr>
      <w:b/>
    </w:rPr>
  </w:style>
  <w:style w:type="paragraph" w:styleId="Style25">
    <w:name w:val="Header"/>
    <w:basedOn w:val="Normal"/>
    <w:link w:val="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53">
    <w:name w:val="TOC 5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PF1" w:customStyle="1">
    <w:name w:val="ОбычныйP/F"/>
    <w:link w:val="PF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0"/>
    <w:qFormat/>
    <w:pPr/>
    <w:rPr>
      <w:rFonts w:ascii="Tahoma" w:hAnsi="Tahoma"/>
      <w:sz w:val="16"/>
    </w:rPr>
  </w:style>
  <w:style w:type="paragraph" w:styleId="Annotationtext">
    <w:name w:val="annotation text"/>
    <w:basedOn w:val="Normal"/>
    <w:link w:val="aa"/>
    <w:qFormat/>
    <w:pPr/>
    <w:rPr>
      <w:sz w:val="20"/>
    </w:rPr>
  </w:style>
  <w:style w:type="paragraph" w:styleId="NormalWeb">
    <w:name w:val="Normal (Web)"/>
    <w:basedOn w:val="Normal"/>
    <w:link w:val="af2"/>
    <w:qFormat/>
    <w:pPr>
      <w:spacing w:beforeAutospacing="1" w:afterAutospacing="1"/>
    </w:pPr>
    <w:rPr/>
  </w:style>
  <w:style w:type="paragraph" w:styleId="Style26">
    <w:name w:val="Footer"/>
    <w:basedOn w:val="Normal"/>
    <w:link w:val="af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Subtitle"/>
    <w:link w:val="af6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link w:val="toc10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>
    <w:name w:val="Title"/>
    <w:link w:val="af8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LibreOffice/7.1.1.2$Linux_X86_64 LibreOffice_project/fe0b08f4af1bacafe4c7ecc87ce55bb426164676</Application>
  <AppVersion>15.0000</AppVersion>
  <Pages>3</Pages>
  <Words>817</Words>
  <Characters>5879</Characters>
  <CharactersWithSpaces>6686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2021-04-23T11:44:00Z</dcterms:created>
  <dc:creator/>
  <dc:description/>
  <dc:language>ru-RU</dc:language>
  <cp:lastModifiedBy/>
  <dcterms:modified xsi:type="dcterms:W3CDTF">2021-04-23T17:01:18Z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