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footnotes.xml" ContentType="application/vnd.openxmlformats-officedocument.wordprocessingml.footnot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i/>
          <w:i/>
          <w:sz w:val="24"/>
        </w:rPr>
      </w:pPr>
      <w:r>
        <w:rPr>
          <w:b/>
          <w:i/>
          <w:sz w:val="24"/>
        </w:rPr>
        <w:t>Форма</w:t>
      </w:r>
    </w:p>
    <w:p>
      <w:pPr>
        <w:pStyle w:val="Normal"/>
        <w:jc w:val="right"/>
        <w:rPr>
          <w:i/>
          <w:i/>
          <w:sz w:val="24"/>
        </w:rPr>
      </w:pPr>
      <w:r>
        <w:rPr>
          <w:i/>
          <w:sz w:val="24"/>
        </w:rPr>
      </w:r>
    </w:p>
    <w:p>
      <w:pPr>
        <w:pStyle w:val="Normal"/>
        <w:ind w:left="5387" w:right="0" w:hanging="0"/>
        <w:jc w:val="center"/>
        <w:rPr>
          <w:rFonts w:ascii="Times New Roman" w:hAnsi="Times New Roman"/>
          <w:b/>
          <w:sz w:val="26"/>
        </w:rPr>
      </w:pPr>
      <w:r>
        <w:rPr>
          <w:b/>
          <w:sz w:val="26"/>
        </w:rPr>
        <w:t xml:space="preserve">Министерство транспорта </w:t>
      </w:r>
    </w:p>
    <w:p>
      <w:pPr>
        <w:pStyle w:val="Normal"/>
        <w:ind w:left="5387" w:right="0" w:hanging="0"/>
        <w:jc w:val="center"/>
        <w:rPr>
          <w:rFonts w:ascii="Times New Roman" w:hAnsi="Times New Roman"/>
          <w:b/>
          <w:sz w:val="26"/>
        </w:rPr>
      </w:pPr>
      <w:r>
        <w:rPr>
          <w:b/>
          <w:sz w:val="26"/>
        </w:rPr>
        <w:t>Российской Федерации</w:t>
      </w:r>
    </w:p>
    <w:p>
      <w:pPr>
        <w:pStyle w:val="Normal"/>
        <w:ind w:left="5387" w:right="0" w:hanging="0"/>
        <w:jc w:val="center"/>
        <w:rPr>
          <w:rFonts w:ascii="Times New Roman" w:hAnsi="Times New Roman"/>
          <w:b/>
          <w:sz w:val="26"/>
        </w:rPr>
      </w:pPr>
      <w:r>
        <w:rPr>
          <w:b/>
          <w:sz w:val="26"/>
        </w:rPr>
      </w:r>
    </w:p>
    <w:p>
      <w:pPr>
        <w:pStyle w:val="Normal"/>
        <w:ind w:left="5387" w:right="0" w:hanging="0"/>
        <w:jc w:val="center"/>
        <w:rPr>
          <w:rFonts w:ascii="Times New Roman" w:hAnsi="Times New Roman"/>
          <w:b w:val="false"/>
          <w:bCs w:val="false"/>
          <w:sz w:val="26"/>
        </w:rPr>
      </w:pPr>
      <w:r>
        <w:rPr>
          <w:b w:val="false"/>
          <w:bCs w:val="false"/>
          <w:sz w:val="26"/>
        </w:rPr>
        <w:t xml:space="preserve">ул. Рождественка, 1, стр. 1, </w:t>
      </w:r>
    </w:p>
    <w:p>
      <w:pPr>
        <w:pStyle w:val="Normal"/>
        <w:ind w:left="5387" w:right="0" w:hanging="0"/>
        <w:jc w:val="center"/>
        <w:rPr>
          <w:rFonts w:ascii="Times New Roman" w:hAnsi="Times New Roman"/>
          <w:b w:val="false"/>
          <w:bCs w:val="false"/>
          <w:sz w:val="26"/>
        </w:rPr>
      </w:pPr>
      <w:r>
        <w:rPr>
          <w:b w:val="false"/>
          <w:bCs w:val="false"/>
          <w:sz w:val="26"/>
        </w:rPr>
        <w:t>Москва, 109012</w:t>
      </w:r>
    </w:p>
    <w:p>
      <w:pPr>
        <w:pStyle w:val="Normal"/>
        <w:ind w:left="5387" w:right="0" w:hanging="0"/>
        <w:jc w:val="center"/>
        <w:rPr>
          <w:rFonts w:ascii="Times New Roman" w:hAnsi="Times New Roman"/>
          <w:b w:val="false"/>
          <w:bCs w:val="false"/>
          <w:sz w:val="26"/>
          <w:u w:val="single"/>
        </w:rPr>
      </w:pPr>
      <w:r>
        <w:rPr>
          <w:b w:val="false"/>
          <w:bCs w:val="false"/>
          <w:sz w:val="26"/>
          <w:u w:val="single"/>
        </w:rPr>
      </w:r>
    </w:p>
    <w:p>
      <w:pPr>
        <w:pStyle w:val="Normal"/>
        <w:ind w:left="5387" w:right="0" w:hanging="0"/>
        <w:jc w:val="center"/>
        <w:rPr>
          <w:b/>
          <w:sz w:val="26"/>
        </w:rPr>
      </w:pPr>
      <w:r>
        <w:rPr>
          <w:b/>
          <w:sz w:val="26"/>
        </w:rPr>
        <w:t>от_____________________________</w:t>
      </w:r>
    </w:p>
    <w:p>
      <w:pPr>
        <w:pStyle w:val="Normal"/>
        <w:ind w:left="5387" w:right="0" w:hanging="0"/>
        <w:jc w:val="center"/>
        <w:rPr>
          <w:i/>
          <w:i/>
          <w:sz w:val="22"/>
        </w:rPr>
      </w:pPr>
      <w:r>
        <w:rPr>
          <w:i/>
          <w:sz w:val="22"/>
        </w:rPr>
        <w:t xml:space="preserve">(наименование организации/ </w:t>
      </w:r>
    </w:p>
    <w:p>
      <w:pPr>
        <w:pStyle w:val="Normal"/>
        <w:ind w:left="5387" w:right="0" w:hanging="0"/>
        <w:jc w:val="center"/>
        <w:rPr>
          <w:i/>
          <w:i/>
          <w:sz w:val="22"/>
        </w:rPr>
      </w:pPr>
      <w:r>
        <w:rPr>
          <w:i/>
          <w:sz w:val="22"/>
        </w:rPr>
        <w:t>Ф.И.О.)</w:t>
      </w:r>
    </w:p>
    <w:p>
      <w:pPr>
        <w:pStyle w:val="Normal"/>
        <w:ind w:left="5387" w:right="0" w:hanging="0"/>
        <w:jc w:val="center"/>
        <w:rPr>
          <w:b/>
          <w:sz w:val="26"/>
        </w:rPr>
      </w:pPr>
      <w:r>
        <w:rPr>
          <w:b/>
          <w:sz w:val="26"/>
        </w:rPr>
        <w:t>_____________________________</w:t>
      </w:r>
    </w:p>
    <w:p>
      <w:pPr>
        <w:pStyle w:val="Normal"/>
        <w:ind w:left="5387" w:right="0" w:hanging="0"/>
        <w:jc w:val="center"/>
        <w:rPr>
          <w:b/>
          <w:sz w:val="26"/>
        </w:rPr>
      </w:pPr>
      <w:r>
        <w:rPr>
          <w:b/>
          <w:sz w:val="26"/>
        </w:rPr>
        <w:t>_____________________________</w:t>
      </w:r>
    </w:p>
    <w:p>
      <w:pPr>
        <w:pStyle w:val="Normal"/>
        <w:ind w:left="5387" w:right="0" w:hanging="0"/>
        <w:jc w:val="center"/>
        <w:rPr>
          <w:b/>
          <w:sz w:val="26"/>
        </w:rPr>
      </w:pPr>
      <w:r>
        <w:rPr>
          <w:b/>
          <w:sz w:val="26"/>
        </w:rPr>
        <w:t>_____________________________</w:t>
      </w:r>
    </w:p>
    <w:p>
      <w:pPr>
        <w:pStyle w:val="Normal"/>
        <w:ind w:left="5387" w:right="0" w:hanging="0"/>
        <w:jc w:val="center"/>
        <w:rPr>
          <w:i/>
          <w:i/>
          <w:sz w:val="22"/>
        </w:rPr>
      </w:pPr>
      <w:r>
        <w:rPr>
          <w:i/>
          <w:sz w:val="22"/>
        </w:rPr>
        <w:t xml:space="preserve">(адрес местонахождения/проживания с указанием почтового индекса </w:t>
      </w:r>
    </w:p>
    <w:p>
      <w:pPr>
        <w:pStyle w:val="Normal"/>
        <w:ind w:left="5387" w:right="0" w:hanging="0"/>
        <w:jc w:val="center"/>
        <w:rPr>
          <w:i/>
          <w:i/>
          <w:sz w:val="22"/>
        </w:rPr>
      </w:pPr>
      <w:r>
        <w:rPr>
          <w:i/>
          <w:sz w:val="22"/>
        </w:rPr>
        <w:t>и адреса электронной почты)</w:t>
      </w:r>
    </w:p>
    <w:p>
      <w:pPr>
        <w:pStyle w:val="Normal"/>
        <w:spacing w:before="240" w:after="0"/>
        <w:jc w:val="center"/>
        <w:rPr>
          <w:sz w:val="24"/>
        </w:rPr>
      </w:pPr>
      <w:r>
        <w:rPr>
          <w:sz w:val="24"/>
        </w:rPr>
      </w:r>
    </w:p>
    <w:p>
      <w:pPr>
        <w:pStyle w:val="Normal"/>
        <w:spacing w:before="240" w:after="0"/>
        <w:jc w:val="center"/>
        <w:rPr>
          <w:sz w:val="24"/>
        </w:rPr>
      </w:pPr>
      <w:r>
        <w:rPr>
          <w:b/>
          <w:sz w:val="26"/>
        </w:rPr>
        <w:t>ИНФОРМАЦИЯ</w:t>
        <w:br/>
      </w:r>
      <w:r>
        <w:rPr>
          <w:sz w:val="26"/>
        </w:rPr>
        <w:t xml:space="preserve">о замечаниях и предложениях </w:t>
      </w:r>
    </w:p>
    <w:p>
      <w:pPr>
        <w:pStyle w:val="Normal"/>
        <w:tabs>
          <w:tab w:val="clear" w:pos="720"/>
          <w:tab w:val="right" w:pos="9921" w:leader="none"/>
        </w:tabs>
        <w:rPr>
          <w:sz w:val="24"/>
        </w:rPr>
      </w:pPr>
      <w:r>
        <w:rPr>
          <w:sz w:val="24"/>
        </w:rPr>
        <w:tab/>
      </w:r>
    </w:p>
    <w:p>
      <w:pPr>
        <w:pStyle w:val="Normal"/>
        <w:tabs>
          <w:tab w:val="clear" w:pos="720"/>
          <w:tab w:val="right" w:pos="9921" w:leader="none"/>
        </w:tabs>
        <w:ind w:left="0" w:right="0" w:firstLine="567"/>
        <w:jc w:val="both"/>
        <w:rPr/>
      </w:pPr>
      <w:r>
        <w:rPr>
          <w:sz w:val="26"/>
          <w:szCs w:val="26"/>
        </w:rPr>
        <w:t xml:space="preserve">В связи с уведомлением Минтранса России о начале сбора замечаний и предложений организаций и граждан по </w:t>
      </w:r>
      <w:r>
        <w:rPr>
          <w:color w:val="000000" w:themeColor="text1"/>
          <w:sz w:val="28"/>
          <w:szCs w:val="26"/>
        </w:rPr>
        <w:t>нормативным правовым актам Министерства</w:t>
      </w:r>
      <w:r>
        <w:rPr>
          <w:rFonts w:eastAsia="Tahoma" w:cs="Droid Sans Devanagari"/>
          <w:color w:val="000000" w:themeColor="text1"/>
          <w:spacing w:val="0"/>
          <w:kern w:val="0"/>
          <w:sz w:val="28"/>
          <w:szCs w:val="20"/>
          <w:lang w:val="ru-RU" w:eastAsia="zh-CN" w:bidi="hi-IN"/>
        </w:rPr>
        <w:t>,</w:t>
      </w:r>
      <w:r>
        <w:rPr>
          <w:rFonts w:eastAsia="Tahoma" w:cs="Droid Sans Devanagari"/>
          <w:color w:val="000000" w:themeColor="text1"/>
          <w:spacing w:val="0"/>
          <w:kern w:val="0"/>
          <w:sz w:val="28"/>
          <w:szCs w:val="20"/>
          <w:u w:val="none"/>
          <w:lang w:val="ru-RU" w:eastAsia="zh-CN" w:bidi="hi-IN"/>
        </w:rPr>
        <w:t xml:space="preserve"> изданным</w:t>
        <w:br/>
        <w:t>в 2025 году и</w:t>
      </w:r>
      <w:r>
        <w:rPr>
          <w:rFonts w:eastAsia="Tahoma" w:cs="Droid Sans Devanagari"/>
          <w:color w:val="000000" w:themeColor="text1"/>
          <w:spacing w:val="0"/>
          <w:kern w:val="0"/>
          <w:sz w:val="28"/>
          <w:szCs w:val="20"/>
          <w:lang w:val="ru-RU" w:eastAsia="zh-CN" w:bidi="hi-IN"/>
        </w:rPr>
        <w:t xml:space="preserve"> размещенным на официальном интернет-портале правовой информации </w:t>
      </w:r>
      <w:r>
        <w:rPr>
          <w:rFonts w:eastAsia="Tahoma" w:cs="Droid Sans Devanagari"/>
          <w:color w:val="000000" w:themeColor="text1"/>
          <w:spacing w:val="0"/>
          <w:kern w:val="0"/>
          <w:sz w:val="28"/>
          <w:szCs w:val="20"/>
          <w:u w:val="single"/>
          <w:lang w:val="ru-RU" w:eastAsia="zh-CN" w:bidi="hi-IN"/>
        </w:rPr>
        <w:t>www.pravo.gov.ru,</w:t>
      </w:r>
      <w:r>
        <w:rPr>
          <w:sz w:val="26"/>
          <w:szCs w:val="26"/>
        </w:rPr>
        <w:t xml:space="preserve">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w:t>
      </w:r>
      <w:r>
        <w:rPr>
          <w:color w:val="000000" w:themeColor="text1" w:themeShade="ff"/>
          <w:sz w:val="26"/>
          <w:szCs w:val="26"/>
        </w:rPr>
        <w:t>Российской Федерации</w:t>
      </w:r>
      <w:r>
        <w:rPr>
          <w:sz w:val="26"/>
          <w:szCs w:val="26"/>
        </w:rPr>
        <w:t>, сообщаем, что в нормативном правовом акте Минтранса России __________</w:t>
      </w:r>
      <w:r>
        <w:rPr>
          <w:sz w:val="26"/>
        </w:rPr>
        <w:t>____________________________________</w:t>
      </w:r>
      <w:r>
        <w:rPr>
          <w:sz w:val="26"/>
        </w:rPr>
        <w:t>_____________________________</w:t>
      </w:r>
      <w:r>
        <w:rPr>
          <w:sz w:val="26"/>
        </w:rPr>
        <w:t>____</w:t>
      </w:r>
    </w:p>
    <w:p>
      <w:pPr>
        <w:pStyle w:val="Normal"/>
        <w:jc w:val="center"/>
        <w:rPr>
          <w:i/>
          <w:i/>
          <w:sz w:val="22"/>
        </w:rPr>
      </w:pPr>
      <w:r>
        <w:rPr>
          <w:i/>
          <w:sz w:val="22"/>
        </w:rPr>
        <w:t xml:space="preserve">    </w:t>
      </w:r>
      <w:r>
        <w:rPr>
          <w:i/>
          <w:sz w:val="22"/>
        </w:rPr>
        <w:t>(наименование и реквизиты нормативного правового акта)</w:t>
      </w:r>
    </w:p>
    <w:p>
      <w:pPr>
        <w:pStyle w:val="Normal"/>
        <w:jc w:val="both"/>
        <w:rPr>
          <w:i/>
          <w:i/>
          <w:sz w:val="22"/>
        </w:rPr>
      </w:pPr>
      <w:r>
        <w:rPr>
          <w:sz w:val="26"/>
        </w:rPr>
        <w:t xml:space="preserve">содержатся положения, влекущие риск нарушения антимонопольного законодательства: </w:t>
      </w:r>
    </w:p>
    <w:p>
      <w:pPr>
        <w:pStyle w:val="Normal"/>
        <w:jc w:val="both"/>
        <w:rPr>
          <w:i/>
          <w:i/>
          <w:sz w:val="22"/>
        </w:rPr>
      </w:pPr>
      <w:r>
        <w:rPr>
          <w:sz w:val="26"/>
        </w:rPr>
        <w:t>______________________________________________________________________________</w:t>
      </w:r>
      <w:r>
        <w:rPr>
          <w:rStyle w:val="Style10"/>
          <w:sz w:val="26"/>
        </w:rPr>
        <w:footnoteReference w:id="2"/>
      </w:r>
      <w:r>
        <w:rPr>
          <w:sz w:val="26"/>
        </w:rPr>
        <w:t>.</w:t>
      </w:r>
    </w:p>
    <w:p>
      <w:pPr>
        <w:pStyle w:val="Normal"/>
        <w:ind w:left="0" w:right="255" w:firstLine="567"/>
        <w:jc w:val="both"/>
        <w:rPr>
          <w:sz w:val="26"/>
        </w:rPr>
      </w:pPr>
      <w:r>
        <w:rPr>
          <w:sz w:val="26"/>
        </w:rPr>
      </w:r>
    </w:p>
    <w:p>
      <w:pPr>
        <w:pStyle w:val="Normal"/>
        <w:tabs>
          <w:tab w:val="clear" w:pos="720"/>
          <w:tab w:val="right" w:pos="9921" w:leader="none"/>
        </w:tabs>
        <w:ind w:left="0" w:right="0" w:firstLine="567"/>
        <w:jc w:val="both"/>
        <w:rPr>
          <w:sz w:val="26"/>
        </w:rPr>
      </w:pPr>
      <w:r>
        <w:rPr>
          <w:sz w:val="26"/>
        </w:rPr>
        <w:t>В целях устранения рисков нарушения антимонопольного законодательства предлагается:</w:t>
      </w:r>
    </w:p>
    <w:p>
      <w:pPr>
        <w:pStyle w:val="Normal"/>
        <w:tabs>
          <w:tab w:val="clear" w:pos="720"/>
          <w:tab w:val="right" w:pos="9921" w:leader="none"/>
        </w:tabs>
        <w:ind w:left="0" w:right="0" w:firstLine="567"/>
        <w:jc w:val="both"/>
        <w:rPr>
          <w:sz w:val="26"/>
        </w:rPr>
      </w:pPr>
      <w:r>
        <w:rPr>
          <w:sz w:val="26"/>
        </w:rPr>
        <w:t>_______________________________________________________________________</w:t>
        <w:tab/>
      </w:r>
    </w:p>
    <w:p>
      <w:pPr>
        <w:pStyle w:val="Normal"/>
        <w:ind w:left="0" w:right="113" w:firstLine="567"/>
        <w:jc w:val="center"/>
        <w:rPr>
          <w:i/>
          <w:i/>
          <w:sz w:val="22"/>
        </w:rPr>
      </w:pPr>
      <w:r>
        <w:rPr>
          <w:i/>
          <w:sz w:val="22"/>
        </w:rPr>
        <w:t>(указывается способ устранения рисков)</w:t>
      </w:r>
    </w:p>
    <w:p>
      <w:pPr>
        <w:pStyle w:val="Normal"/>
        <w:ind w:left="0" w:right="113" w:firstLine="567"/>
        <w:jc w:val="center"/>
        <w:rPr>
          <w:i/>
          <w:i/>
          <w:sz w:val="22"/>
        </w:rPr>
      </w:pPr>
      <w:r>
        <w:rPr>
          <w:i/>
          <w:sz w:val="22"/>
        </w:rPr>
      </w:r>
    </w:p>
    <w:p>
      <w:pPr>
        <w:pStyle w:val="Normal"/>
        <w:ind w:left="0" w:right="113" w:firstLine="567"/>
        <w:jc w:val="center"/>
        <w:rPr>
          <w:i/>
          <w:i/>
          <w:sz w:val="22"/>
        </w:rPr>
      </w:pPr>
      <w:r>
        <w:rPr>
          <w:i/>
          <w:sz w:val="22"/>
        </w:rPr>
      </w:r>
    </w:p>
    <w:tbl>
      <w:tblPr>
        <w:tblStyle w:val="Style_2"/>
        <w:tblW w:w="10064" w:type="dxa"/>
        <w:jc w:val="left"/>
        <w:tblInd w:w="0" w:type="dxa"/>
        <w:tblLayout w:type="fixed"/>
        <w:tblCellMar>
          <w:top w:w="0" w:type="dxa"/>
          <w:left w:w="28" w:type="dxa"/>
          <w:bottom w:w="0" w:type="dxa"/>
          <w:right w:w="28" w:type="dxa"/>
        </w:tblCellMar>
      </w:tblPr>
      <w:tblGrid>
        <w:gridCol w:w="378"/>
        <w:gridCol w:w="162"/>
        <w:gridCol w:w="1353"/>
        <w:gridCol w:w="378"/>
        <w:gridCol w:w="352"/>
        <w:gridCol w:w="541"/>
        <w:gridCol w:w="541"/>
        <w:gridCol w:w="2445"/>
        <w:gridCol w:w="160"/>
        <w:gridCol w:w="3753"/>
      </w:tblGrid>
      <w:tr>
        <w:trPr>
          <w:trHeight w:val="661" w:hRule="atLeast"/>
        </w:trPr>
        <w:tc>
          <w:tcPr>
            <w:tcW w:w="378" w:type="dxa"/>
            <w:tcBorders>
              <w:bottom w:val="single" w:sz="4" w:space="0" w:color="000000"/>
            </w:tcBorders>
            <w:vAlign w:val="bottom"/>
          </w:tcPr>
          <w:p>
            <w:pPr>
              <w:pStyle w:val="Normal"/>
              <w:widowControl w:val="false"/>
              <w:suppressAutoHyphens w:val="true"/>
              <w:spacing w:lineRule="auto" w:line="240" w:before="0" w:after="0"/>
              <w:ind w:left="0" w:right="0" w:firstLine="567"/>
              <w:jc w:val="both"/>
              <w:rPr>
                <w:sz w:val="26"/>
              </w:rPr>
            </w:pPr>
            <w:r>
              <w:rPr>
                <w:sz w:val="26"/>
              </w:rPr>
            </w:r>
          </w:p>
        </w:tc>
        <w:tc>
          <w:tcPr>
            <w:tcW w:w="162" w:type="dxa"/>
            <w:tcBorders/>
            <w:vAlign w:val="bottom"/>
          </w:tcPr>
          <w:p>
            <w:pPr>
              <w:pStyle w:val="Normal"/>
              <w:widowControl w:val="false"/>
              <w:suppressAutoHyphens w:val="true"/>
              <w:spacing w:lineRule="auto" w:line="240" w:before="0" w:after="0"/>
              <w:ind w:left="0" w:right="0" w:firstLine="567"/>
              <w:jc w:val="both"/>
              <w:rPr>
                <w:sz w:val="26"/>
              </w:rPr>
            </w:pPr>
            <w:r>
              <w:rPr>
                <w:sz w:val="26"/>
              </w:rPr>
            </w:r>
          </w:p>
        </w:tc>
        <w:tc>
          <w:tcPr>
            <w:tcW w:w="1353" w:type="dxa"/>
            <w:tcBorders>
              <w:bottom w:val="single" w:sz="4" w:space="0" w:color="000000"/>
            </w:tcBorders>
            <w:vAlign w:val="bottom"/>
          </w:tcPr>
          <w:p>
            <w:pPr>
              <w:pStyle w:val="Normal"/>
              <w:widowControl w:val="false"/>
              <w:suppressAutoHyphens w:val="true"/>
              <w:spacing w:lineRule="auto" w:line="240" w:before="0" w:after="0"/>
              <w:ind w:left="0" w:right="0" w:firstLine="567"/>
              <w:jc w:val="both"/>
              <w:rPr>
                <w:sz w:val="26"/>
              </w:rPr>
            </w:pPr>
            <w:r>
              <w:rPr>
                <w:sz w:val="26"/>
              </w:rPr>
            </w:r>
          </w:p>
        </w:tc>
        <w:tc>
          <w:tcPr>
            <w:tcW w:w="378" w:type="dxa"/>
            <w:tcBorders/>
            <w:vAlign w:val="bottom"/>
          </w:tcPr>
          <w:p>
            <w:pPr>
              <w:pStyle w:val="Normal"/>
              <w:widowControl w:val="false"/>
              <w:suppressAutoHyphens w:val="true"/>
              <w:spacing w:lineRule="auto" w:line="240" w:before="0" w:after="0"/>
              <w:ind w:left="0" w:right="0" w:hanging="0"/>
              <w:jc w:val="both"/>
              <w:rPr>
                <w:sz w:val="26"/>
              </w:rPr>
            </w:pPr>
            <w:r>
              <w:rPr>
                <w:color w:val="000000"/>
                <w:spacing w:val="0"/>
                <w:kern w:val="0"/>
                <w:sz w:val="26"/>
                <w:szCs w:val="20"/>
              </w:rPr>
              <w:t>20</w:t>
            </w:r>
          </w:p>
        </w:tc>
        <w:tc>
          <w:tcPr>
            <w:tcW w:w="352" w:type="dxa"/>
            <w:tcBorders>
              <w:bottom w:val="single" w:sz="4" w:space="0" w:color="000000"/>
            </w:tcBorders>
            <w:vAlign w:val="bottom"/>
          </w:tcPr>
          <w:p>
            <w:pPr>
              <w:pStyle w:val="Normal"/>
              <w:widowControl w:val="false"/>
              <w:suppressAutoHyphens w:val="true"/>
              <w:spacing w:lineRule="auto" w:line="240" w:before="0" w:after="0"/>
              <w:ind w:left="0" w:right="0" w:hanging="0"/>
              <w:jc w:val="both"/>
              <w:rPr>
                <w:sz w:val="26"/>
              </w:rPr>
            </w:pPr>
            <w:r>
              <w:rPr>
                <w:sz w:val="26"/>
              </w:rPr>
            </w:r>
          </w:p>
        </w:tc>
        <w:tc>
          <w:tcPr>
            <w:tcW w:w="541" w:type="dxa"/>
            <w:tcBorders/>
          </w:tcPr>
          <w:p>
            <w:pPr>
              <w:pStyle w:val="Normal"/>
              <w:widowControl w:val="false"/>
              <w:suppressAutoHyphens w:val="true"/>
              <w:spacing w:lineRule="auto" w:line="240" w:before="0" w:after="0"/>
              <w:jc w:val="both"/>
              <w:rPr>
                <w:sz w:val="26"/>
              </w:rPr>
            </w:pPr>
            <w:r>
              <w:rPr>
                <w:sz w:val="26"/>
              </w:rPr>
            </w:r>
          </w:p>
        </w:tc>
        <w:tc>
          <w:tcPr>
            <w:tcW w:w="541" w:type="dxa"/>
            <w:tcBorders/>
            <w:vAlign w:val="bottom"/>
          </w:tcPr>
          <w:p>
            <w:pPr>
              <w:pStyle w:val="Normal"/>
              <w:widowControl w:val="false"/>
              <w:suppressAutoHyphens w:val="true"/>
              <w:spacing w:lineRule="auto" w:line="240" w:before="0" w:after="0"/>
              <w:jc w:val="both"/>
              <w:rPr>
                <w:sz w:val="26"/>
              </w:rPr>
            </w:pPr>
            <w:r>
              <w:rPr>
                <w:sz w:val="26"/>
              </w:rPr>
            </w:r>
          </w:p>
        </w:tc>
        <w:tc>
          <w:tcPr>
            <w:tcW w:w="2445" w:type="dxa"/>
            <w:tcBorders>
              <w:bottom w:val="single" w:sz="4" w:space="0" w:color="000000"/>
            </w:tcBorders>
            <w:vAlign w:val="bottom"/>
          </w:tcPr>
          <w:p>
            <w:pPr>
              <w:pStyle w:val="Normal"/>
              <w:widowControl w:val="false"/>
              <w:suppressAutoHyphens w:val="true"/>
              <w:spacing w:lineRule="auto" w:line="240" w:before="0" w:after="0"/>
              <w:ind w:left="0" w:right="0" w:firstLine="567"/>
              <w:jc w:val="both"/>
              <w:rPr>
                <w:sz w:val="26"/>
              </w:rPr>
            </w:pPr>
            <w:r>
              <w:rPr>
                <w:sz w:val="26"/>
              </w:rPr>
            </w:r>
          </w:p>
        </w:tc>
        <w:tc>
          <w:tcPr>
            <w:tcW w:w="160" w:type="dxa"/>
            <w:tcBorders/>
            <w:vAlign w:val="bottom"/>
          </w:tcPr>
          <w:p>
            <w:pPr>
              <w:pStyle w:val="Normal"/>
              <w:widowControl w:val="false"/>
              <w:suppressAutoHyphens w:val="true"/>
              <w:spacing w:lineRule="auto" w:line="240" w:before="0" w:after="0"/>
              <w:ind w:left="0" w:right="0" w:firstLine="567"/>
              <w:jc w:val="both"/>
              <w:rPr>
                <w:sz w:val="26"/>
              </w:rPr>
            </w:pPr>
            <w:r>
              <w:rPr>
                <w:sz w:val="26"/>
              </w:rPr>
            </w:r>
          </w:p>
        </w:tc>
        <w:tc>
          <w:tcPr>
            <w:tcW w:w="3753" w:type="dxa"/>
            <w:tcBorders>
              <w:bottom w:val="single" w:sz="4" w:space="0" w:color="000000"/>
            </w:tcBorders>
            <w:vAlign w:val="bottom"/>
          </w:tcPr>
          <w:p>
            <w:pPr>
              <w:pStyle w:val="Normal"/>
              <w:widowControl w:val="false"/>
              <w:suppressAutoHyphens w:val="true"/>
              <w:spacing w:lineRule="auto" w:line="240" w:before="0" w:after="0"/>
              <w:ind w:left="0" w:right="0" w:firstLine="567"/>
              <w:jc w:val="both"/>
              <w:rPr>
                <w:sz w:val="26"/>
              </w:rPr>
            </w:pPr>
            <w:r>
              <w:rPr>
                <w:sz w:val="26"/>
              </w:rPr>
            </w:r>
          </w:p>
        </w:tc>
      </w:tr>
      <w:tr>
        <w:trPr>
          <w:trHeight w:val="297" w:hRule="atLeast"/>
        </w:trPr>
        <w:tc>
          <w:tcPr>
            <w:tcW w:w="378" w:type="dxa"/>
            <w:tcBorders/>
          </w:tcPr>
          <w:p>
            <w:pPr>
              <w:pStyle w:val="Normal"/>
              <w:widowControl w:val="false"/>
              <w:suppressAutoHyphens w:val="true"/>
              <w:spacing w:lineRule="auto" w:line="240" w:before="0" w:after="0"/>
              <w:jc w:val="center"/>
              <w:rPr>
                <w:sz w:val="24"/>
              </w:rPr>
            </w:pPr>
            <w:r>
              <w:rPr>
                <w:sz w:val="24"/>
              </w:rPr>
            </w:r>
          </w:p>
        </w:tc>
        <w:tc>
          <w:tcPr>
            <w:tcW w:w="162" w:type="dxa"/>
            <w:tcBorders/>
          </w:tcPr>
          <w:p>
            <w:pPr>
              <w:pStyle w:val="Normal"/>
              <w:widowControl w:val="false"/>
              <w:suppressAutoHyphens w:val="true"/>
              <w:spacing w:lineRule="auto" w:line="240" w:before="0" w:after="0"/>
              <w:jc w:val="center"/>
              <w:rPr>
                <w:sz w:val="24"/>
              </w:rPr>
            </w:pPr>
            <w:r>
              <w:rPr>
                <w:sz w:val="24"/>
              </w:rPr>
            </w:r>
          </w:p>
        </w:tc>
        <w:tc>
          <w:tcPr>
            <w:tcW w:w="1353" w:type="dxa"/>
            <w:tcBorders/>
          </w:tcPr>
          <w:p>
            <w:pPr>
              <w:pStyle w:val="Normal"/>
              <w:widowControl w:val="false"/>
              <w:suppressAutoHyphens w:val="true"/>
              <w:spacing w:lineRule="auto" w:line="240" w:before="0" w:after="0"/>
              <w:jc w:val="center"/>
              <w:rPr>
                <w:sz w:val="24"/>
              </w:rPr>
            </w:pPr>
            <w:r>
              <w:rPr>
                <w:sz w:val="24"/>
              </w:rPr>
            </w:r>
          </w:p>
        </w:tc>
        <w:tc>
          <w:tcPr>
            <w:tcW w:w="378" w:type="dxa"/>
            <w:tcBorders/>
          </w:tcPr>
          <w:p>
            <w:pPr>
              <w:pStyle w:val="Normal"/>
              <w:widowControl w:val="false"/>
              <w:suppressAutoHyphens w:val="true"/>
              <w:spacing w:lineRule="auto" w:line="240" w:before="0" w:after="0"/>
              <w:jc w:val="center"/>
              <w:rPr>
                <w:sz w:val="24"/>
              </w:rPr>
            </w:pPr>
            <w:r>
              <w:rPr>
                <w:sz w:val="24"/>
              </w:rPr>
            </w:r>
          </w:p>
        </w:tc>
        <w:tc>
          <w:tcPr>
            <w:tcW w:w="352" w:type="dxa"/>
            <w:tcBorders/>
          </w:tcPr>
          <w:p>
            <w:pPr>
              <w:pStyle w:val="Normal"/>
              <w:widowControl w:val="false"/>
              <w:suppressAutoHyphens w:val="true"/>
              <w:spacing w:lineRule="auto" w:line="240" w:before="0" w:after="0"/>
              <w:jc w:val="center"/>
              <w:rPr>
                <w:sz w:val="24"/>
              </w:rPr>
            </w:pPr>
            <w:r>
              <w:rPr>
                <w:sz w:val="24"/>
              </w:rPr>
            </w:r>
          </w:p>
        </w:tc>
        <w:tc>
          <w:tcPr>
            <w:tcW w:w="541" w:type="dxa"/>
            <w:tcBorders/>
          </w:tcPr>
          <w:p>
            <w:pPr>
              <w:pStyle w:val="Normal"/>
              <w:widowControl w:val="false"/>
              <w:suppressAutoHyphens w:val="true"/>
              <w:spacing w:lineRule="auto" w:line="240" w:before="0" w:after="0"/>
              <w:jc w:val="center"/>
              <w:rPr>
                <w:sz w:val="24"/>
              </w:rPr>
            </w:pPr>
            <w:r>
              <w:rPr>
                <w:sz w:val="24"/>
              </w:rPr>
            </w:r>
          </w:p>
        </w:tc>
        <w:tc>
          <w:tcPr>
            <w:tcW w:w="541" w:type="dxa"/>
            <w:tcBorders/>
          </w:tcPr>
          <w:p>
            <w:pPr>
              <w:pStyle w:val="Normal"/>
              <w:widowControl w:val="false"/>
              <w:suppressAutoHyphens w:val="true"/>
              <w:spacing w:lineRule="auto" w:line="240" w:before="0" w:after="0"/>
              <w:jc w:val="center"/>
              <w:rPr>
                <w:sz w:val="24"/>
              </w:rPr>
            </w:pPr>
            <w:r>
              <w:rPr>
                <w:sz w:val="24"/>
              </w:rPr>
            </w:r>
          </w:p>
        </w:tc>
        <w:tc>
          <w:tcPr>
            <w:tcW w:w="2445" w:type="dxa"/>
            <w:tcBorders/>
          </w:tcPr>
          <w:p>
            <w:pPr>
              <w:pStyle w:val="Normal"/>
              <w:widowControl w:val="false"/>
              <w:suppressAutoHyphens w:val="true"/>
              <w:spacing w:lineRule="auto" w:line="240" w:before="0" w:after="0"/>
              <w:jc w:val="center"/>
              <w:rPr>
                <w:sz w:val="24"/>
              </w:rPr>
            </w:pPr>
            <w:r>
              <w:rPr>
                <w:color w:val="000000"/>
                <w:spacing w:val="0"/>
                <w:kern w:val="0"/>
                <w:sz w:val="16"/>
                <w:szCs w:val="20"/>
              </w:rPr>
              <w:t>(подпись)</w:t>
            </w:r>
          </w:p>
        </w:tc>
        <w:tc>
          <w:tcPr>
            <w:tcW w:w="160" w:type="dxa"/>
            <w:tcBorders/>
          </w:tcPr>
          <w:p>
            <w:pPr>
              <w:pStyle w:val="Normal"/>
              <w:widowControl w:val="false"/>
              <w:suppressAutoHyphens w:val="true"/>
              <w:spacing w:lineRule="auto" w:line="240" w:before="0" w:after="0"/>
              <w:jc w:val="center"/>
              <w:rPr>
                <w:sz w:val="24"/>
              </w:rPr>
            </w:pPr>
            <w:r>
              <w:rPr>
                <w:sz w:val="24"/>
              </w:rPr>
            </w:r>
          </w:p>
        </w:tc>
        <w:tc>
          <w:tcPr>
            <w:tcW w:w="3753" w:type="dxa"/>
            <w:tcBorders/>
          </w:tcPr>
          <w:p>
            <w:pPr>
              <w:pStyle w:val="Normal"/>
              <w:widowControl w:val="false"/>
              <w:suppressAutoHyphens w:val="true"/>
              <w:spacing w:lineRule="auto" w:line="240" w:before="0" w:after="0"/>
              <w:jc w:val="center"/>
              <w:rPr>
                <w:sz w:val="24"/>
              </w:rPr>
            </w:pPr>
            <w:r>
              <w:rPr>
                <w:color w:val="000000"/>
                <w:spacing w:val="0"/>
                <w:kern w:val="0"/>
                <w:sz w:val="16"/>
                <w:szCs w:val="20"/>
              </w:rPr>
              <w:t>(расшифровка подписи))</w:t>
            </w:r>
          </w:p>
        </w:tc>
      </w:tr>
    </w:tbl>
    <w:p>
      <w:pPr>
        <w:pStyle w:val="Normal"/>
        <w:rPr>
          <w:sz w:val="24"/>
        </w:rPr>
      </w:pPr>
      <w:r>
        <w:rPr/>
      </w:r>
    </w:p>
    <w:sectPr>
      <w:footnotePr>
        <w:numFmt w:val="decimal"/>
      </w:footnotePr>
      <w:type w:val="nextPage"/>
      <w:pgSz w:w="11906" w:h="16838"/>
      <w:pgMar w:left="993" w:right="600" w:gutter="0" w:header="0" w:top="709"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XO Thames">
    <w:charset w:val="01"/>
    <w:family w:val="roman"/>
    <w:pitch w:val="variable"/>
  </w:font>
  <w:font w:name="Segoe UI">
    <w:charset w:val="01"/>
    <w:family w:val="roman"/>
    <w:pitch w:val="variable"/>
  </w:font>
  <w:font w:name="Liberation Sans">
    <w:altName w:val="Arial"/>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widowControl/>
        <w:suppressAutoHyphens w:val="true"/>
        <w:bidi w:val="0"/>
        <w:spacing w:lineRule="auto" w:line="240" w:before="0" w:after="0"/>
        <w:ind w:left="0" w:right="0" w:hanging="0"/>
        <w:jc w:val="both"/>
        <w:rPr/>
      </w:pPr>
      <w:r>
        <w:rPr>
          <w:rStyle w:val="Style9"/>
        </w:rPr>
        <w:footnoteRef/>
      </w:r>
      <w:r>
        <w:rPr>
          <w:sz w:val="22"/>
        </w:rPr>
        <w:t> </w:t>
      </w:r>
      <w:r>
        <w:rPr/>
        <w:t>Отражаются все положения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абзацев) нормативного правового акта, со ссылкой на нормы Федерального закона от 26 июля 2006 г. № 135-ФЗ</w:t>
        <w:br/>
        <w:t xml:space="preserve">«О защите конкуренции» и правовым обоснованием возможных рисков нарушения антимонопольного законодательства. </w:t>
      </w:r>
    </w:p>
  </w:footnote>
</w:footnotes>
</file>

<file path=word/settings.xml><?xml version="1.0" encoding="utf-8"?>
<w:settings xmlns:w="http://schemas.openxmlformats.org/wordprocessingml/2006/main">
  <w:zoom w:percent="12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Devanagari"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6">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eading 10"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toc 10"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left="0" w:right="0" w:hanging="0"/>
      <w:jc w:val="left"/>
    </w:pPr>
    <w:rPr>
      <w:rFonts w:ascii="Times New Roman" w:hAnsi="Times New Roman" w:eastAsia="Tahoma" w:cs="Droid Sans Devanagari"/>
      <w:color w:val="000000"/>
      <w:spacing w:val="0"/>
      <w:kern w:val="0"/>
      <w:sz w:val="20"/>
      <w:szCs w:val="20"/>
      <w:lang w:val="ru-RU" w:eastAsia="zh-CN" w:bidi="hi-IN"/>
    </w:rPr>
  </w:style>
  <w:style w:type="paragraph" w:styleId="1">
    <w:name w:val="Heading 1"/>
    <w:next w:val="Normal"/>
    <w:uiPriority w:val="9"/>
    <w:qFormat/>
    <w:pPr>
      <w:widowControl/>
      <w:suppressAutoHyphens w:val="true"/>
      <w:bidi w:val="0"/>
      <w:spacing w:lineRule="auto" w:line="240" w:before="120" w:after="120"/>
      <w:ind w:left="0" w:right="0" w:hanging="0"/>
      <w:jc w:val="left"/>
      <w:outlineLvl w:val="0"/>
    </w:pPr>
    <w:rPr>
      <w:rFonts w:ascii="XO Thames" w:hAnsi="XO Thames" w:eastAsia="Tahoma" w:cs="Droid Sans Devanagari"/>
      <w:b/>
      <w:color w:val="000000"/>
      <w:spacing w:val="0"/>
      <w:kern w:val="0"/>
      <w:sz w:val="32"/>
      <w:szCs w:val="20"/>
      <w:lang w:val="ru-RU" w:eastAsia="zh-CN" w:bidi="hi-IN"/>
    </w:rPr>
  </w:style>
  <w:style w:type="paragraph" w:styleId="2">
    <w:name w:val="Heading 2"/>
    <w:next w:val="Normal"/>
    <w:uiPriority w:val="9"/>
    <w:qFormat/>
    <w:pPr>
      <w:widowControl/>
      <w:suppressAutoHyphens w:val="true"/>
      <w:bidi w:val="0"/>
      <w:spacing w:lineRule="auto" w:line="240" w:before="120" w:after="120"/>
      <w:ind w:left="0" w:right="0" w:hanging="0"/>
      <w:jc w:val="left"/>
      <w:outlineLvl w:val="1"/>
    </w:pPr>
    <w:rPr>
      <w:rFonts w:ascii="XO Thames" w:hAnsi="XO Thames" w:eastAsia="Tahoma" w:cs="Droid Sans Devanagari"/>
      <w:b/>
      <w:color w:val="00A0FF"/>
      <w:spacing w:val="0"/>
      <w:kern w:val="0"/>
      <w:sz w:val="26"/>
      <w:szCs w:val="20"/>
      <w:lang w:val="ru-RU" w:eastAsia="zh-CN" w:bidi="hi-IN"/>
    </w:rPr>
  </w:style>
  <w:style w:type="paragraph" w:styleId="3">
    <w:name w:val="Heading 3"/>
    <w:next w:val="Normal"/>
    <w:uiPriority w:val="9"/>
    <w:qFormat/>
    <w:pPr>
      <w:widowControl/>
      <w:suppressAutoHyphens w:val="true"/>
      <w:bidi w:val="0"/>
      <w:spacing w:lineRule="auto" w:line="240" w:before="0" w:after="0"/>
      <w:ind w:left="0" w:right="0" w:hanging="0"/>
      <w:jc w:val="left"/>
      <w:outlineLvl w:val="2"/>
    </w:pPr>
    <w:rPr>
      <w:rFonts w:ascii="XO Thames" w:hAnsi="XO Thames" w:eastAsia="Tahoma" w:cs="Droid Sans Devanagari"/>
      <w:b/>
      <w:i/>
      <w:color w:val="000000"/>
      <w:spacing w:val="0"/>
      <w:kern w:val="0"/>
      <w:sz w:val="22"/>
      <w:szCs w:val="20"/>
      <w:lang w:val="ru-RU" w:eastAsia="zh-CN" w:bidi="hi-IN"/>
    </w:rPr>
  </w:style>
  <w:style w:type="paragraph" w:styleId="4">
    <w:name w:val="Heading 4"/>
    <w:next w:val="Normal"/>
    <w:uiPriority w:val="9"/>
    <w:qFormat/>
    <w:pPr>
      <w:widowControl/>
      <w:suppressAutoHyphens w:val="true"/>
      <w:bidi w:val="0"/>
      <w:spacing w:lineRule="auto" w:line="240" w:before="120" w:after="120"/>
      <w:ind w:left="0" w:right="0" w:hanging="0"/>
      <w:jc w:val="left"/>
      <w:outlineLvl w:val="3"/>
    </w:pPr>
    <w:rPr>
      <w:rFonts w:ascii="XO Thames" w:hAnsi="XO Thames" w:eastAsia="Tahoma" w:cs="Droid Sans Devanagari"/>
      <w:b/>
      <w:color w:val="595959"/>
      <w:spacing w:val="0"/>
      <w:kern w:val="0"/>
      <w:sz w:val="26"/>
      <w:szCs w:val="20"/>
      <w:lang w:val="ru-RU" w:eastAsia="zh-CN" w:bidi="hi-IN"/>
    </w:rPr>
  </w:style>
  <w:style w:type="paragraph" w:styleId="5">
    <w:name w:val="Heading 5"/>
    <w:next w:val="Normal"/>
    <w:uiPriority w:val="9"/>
    <w:qFormat/>
    <w:pPr>
      <w:widowControl/>
      <w:suppressAutoHyphens w:val="true"/>
      <w:bidi w:val="0"/>
      <w:spacing w:lineRule="auto" w:line="240" w:before="120" w:after="120"/>
      <w:ind w:left="0" w:right="0" w:hanging="0"/>
      <w:jc w:val="left"/>
      <w:outlineLvl w:val="4"/>
    </w:pPr>
    <w:rPr>
      <w:rFonts w:ascii="XO Thames" w:hAnsi="XO Thames" w:eastAsia="Tahoma" w:cs="Droid Sans Devanagari"/>
      <w:b/>
      <w:color w:val="000000"/>
      <w:spacing w:val="0"/>
      <w:kern w:val="0"/>
      <w:sz w:val="22"/>
      <w:szCs w:val="20"/>
      <w:lang w:val="ru-RU" w:eastAsia="zh-CN" w:bidi="hi-IN"/>
    </w:rPr>
  </w:style>
  <w:style w:type="character" w:styleId="Contents2">
    <w:name w:val="Contents 2"/>
    <w:qFormat/>
    <w:rPr/>
  </w:style>
  <w:style w:type="character" w:styleId="Contents4">
    <w:name w:val="Contents 4"/>
    <w:qFormat/>
    <w:rPr/>
  </w:style>
  <w:style w:type="character" w:styleId="Contents6">
    <w:name w:val="Contents 6"/>
    <w:qFormat/>
    <w:rPr/>
  </w:style>
  <w:style w:type="character" w:styleId="Contents7">
    <w:name w:val="Contents 7"/>
    <w:qFormat/>
    <w:rPr/>
  </w:style>
  <w:style w:type="character" w:styleId="Heading3">
    <w:name w:val="Heading 3"/>
    <w:qFormat/>
    <w:rPr>
      <w:rFonts w:ascii="XO Thames" w:hAnsi="XO Thames"/>
      <w:b/>
      <w:i/>
      <w:color w:val="000000"/>
    </w:rPr>
  </w:style>
  <w:style w:type="character" w:styleId="Style9">
    <w:name w:val="Символ сноски"/>
    <w:qFormat/>
    <w:rPr>
      <w:vertAlign w:val="superscript"/>
    </w:rPr>
  </w:style>
  <w:style w:type="character" w:styleId="Style10">
    <w:name w:val="Footnote Reference"/>
    <w:rPr>
      <w:vertAlign w:val="superscript"/>
    </w:rPr>
  </w:style>
  <w:style w:type="character" w:styleId="FootnoteCharacters">
    <w:name w:val="Footnote Characters"/>
    <w:basedOn w:val="DefaultParagraphFont"/>
    <w:qFormat/>
    <w:rPr>
      <w:vertAlign w:val="superscript"/>
    </w:rPr>
  </w:style>
  <w:style w:type="character" w:styleId="BalloonText">
    <w:name w:val="Balloon Text"/>
    <w:qFormat/>
    <w:rPr>
      <w:rFonts w:ascii="Segoe UI" w:hAnsi="Segoe UI"/>
      <w:sz w:val="18"/>
    </w:rPr>
  </w:style>
  <w:style w:type="character" w:styleId="Contents3">
    <w:name w:val="Contents 3"/>
    <w:qFormat/>
    <w:rPr/>
  </w:style>
  <w:style w:type="character" w:styleId="Footer">
    <w:name w:val="Footer"/>
    <w:qFormat/>
    <w:rPr/>
  </w:style>
  <w:style w:type="character" w:styleId="Heading5">
    <w:name w:val="Heading 5"/>
    <w:qFormat/>
    <w:rPr>
      <w:rFonts w:ascii="XO Thames" w:hAnsi="XO Thames"/>
      <w:b/>
      <w:color w:val="000000"/>
      <w:sz w:val="22"/>
    </w:rPr>
  </w:style>
  <w:style w:type="character" w:styleId="Heading1">
    <w:name w:val="Heading 1"/>
    <w:qFormat/>
    <w:rPr>
      <w:rFonts w:ascii="XO Thames" w:hAnsi="XO Thames"/>
      <w:b/>
      <w:sz w:val="32"/>
    </w:rPr>
  </w:style>
  <w:style w:type="character" w:styleId="-">
    <w:name w:val="Hyperlink"/>
    <w:rPr>
      <w:color w:val="0000FF"/>
      <w:u w:val="single"/>
    </w:rPr>
  </w:style>
  <w:style w:type="character" w:styleId="Footnote">
    <w:name w:val="Footnote"/>
    <w:qFormat/>
    <w:rPr/>
  </w:style>
  <w:style w:type="character" w:styleId="Contents1">
    <w:name w:val="Contents 1"/>
    <w:qFormat/>
    <w:rPr>
      <w:rFonts w:ascii="XO Thames" w:hAnsi="XO Thames"/>
      <w:b/>
    </w:rPr>
  </w:style>
  <w:style w:type="character" w:styleId="HeaderandFooter">
    <w:name w:val="Header and Footer"/>
    <w:qFormat/>
    <w:rPr>
      <w:rFonts w:ascii="XO Thames" w:hAnsi="XO Thames"/>
      <w:sz w:val="20"/>
    </w:rPr>
  </w:style>
  <w:style w:type="character" w:styleId="Contents9">
    <w:name w:val="Contents 9"/>
    <w:qFormat/>
    <w:rPr/>
  </w:style>
  <w:style w:type="character" w:styleId="Contents8">
    <w:name w:val="Contents 8"/>
    <w:qFormat/>
    <w:rPr/>
  </w:style>
  <w:style w:type="character" w:styleId="Header">
    <w:name w:val="Header"/>
    <w:qFormat/>
    <w:rPr/>
  </w:style>
  <w:style w:type="character" w:styleId="Contents5">
    <w:name w:val="Contents 5"/>
    <w:qFormat/>
    <w:rPr/>
  </w:style>
  <w:style w:type="character" w:styleId="DefaultParagraphFont">
    <w:name w:val="Default Paragraph Font"/>
    <w:qFormat/>
    <w:rPr/>
  </w:style>
  <w:style w:type="character" w:styleId="Subtitle">
    <w:name w:val="Subtitle"/>
    <w:qFormat/>
    <w:rPr>
      <w:rFonts w:ascii="XO Thames" w:hAnsi="XO Thames"/>
      <w:i/>
      <w:color w:val="616161"/>
      <w:sz w:val="24"/>
    </w:rPr>
  </w:style>
  <w:style w:type="character" w:styleId="Toc10">
    <w:name w:val="toc 10"/>
    <w:qFormat/>
    <w:rPr/>
  </w:style>
  <w:style w:type="character" w:styleId="Title">
    <w:name w:val="Title"/>
    <w:qFormat/>
    <w:rPr>
      <w:rFonts w:ascii="XO Thames" w:hAnsi="XO Thames"/>
      <w:b/>
      <w:sz w:val="52"/>
    </w:rPr>
  </w:style>
  <w:style w:type="character" w:styleId="Heading4">
    <w:name w:val="Heading 4"/>
    <w:qFormat/>
    <w:rPr>
      <w:rFonts w:ascii="XO Thames" w:hAnsi="XO Thames"/>
      <w:b/>
      <w:color w:val="595959"/>
      <w:sz w:val="26"/>
    </w:rPr>
  </w:style>
  <w:style w:type="character" w:styleId="Heading2">
    <w:name w:val="Heading 2"/>
    <w:qFormat/>
    <w:rPr>
      <w:rFonts w:ascii="XO Thames" w:hAnsi="XO Thames"/>
      <w:b/>
      <w:color w:val="00A0FF"/>
      <w:sz w:val="26"/>
    </w:rPr>
  </w:style>
  <w:style w:type="character" w:styleId="Style11">
    <w:name w:val="Символ концевой сноски"/>
    <w:qFormat/>
    <w:rPr>
      <w:vertAlign w:val="superscript"/>
    </w:rPr>
  </w:style>
  <w:style w:type="character" w:styleId="Style12">
    <w:name w:val="Endnote Reference"/>
    <w:rPr>
      <w:vertAlign w:val="superscript"/>
    </w:rPr>
  </w:style>
  <w:style w:type="paragraph" w:styleId="Style13">
    <w:name w:val="Заголовок"/>
    <w:basedOn w:val="Normal"/>
    <w:next w:val="Style14"/>
    <w:qFormat/>
    <w:pPr>
      <w:keepNext w:val="true"/>
      <w:spacing w:before="240" w:after="120"/>
    </w:pPr>
    <w:rPr>
      <w:rFonts w:ascii="Liberation Sans" w:hAnsi="Liberation Sans" w:eastAsia="Tahoma" w:cs="Droid Sans Devanagari"/>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Droid Sans Devanagari"/>
    </w:rPr>
  </w:style>
  <w:style w:type="paragraph" w:styleId="Style16">
    <w:name w:val="Caption"/>
    <w:basedOn w:val="Normal"/>
    <w:qFormat/>
    <w:pPr>
      <w:suppressLineNumbers/>
      <w:spacing w:before="120" w:after="120"/>
    </w:pPr>
    <w:rPr>
      <w:rFonts w:cs="Droid Sans Devanagari"/>
      <w:i/>
      <w:iCs/>
      <w:sz w:val="24"/>
      <w:szCs w:val="24"/>
    </w:rPr>
  </w:style>
  <w:style w:type="paragraph" w:styleId="Style17">
    <w:name w:val="Указатель"/>
    <w:basedOn w:val="Normal"/>
    <w:qFormat/>
    <w:pPr>
      <w:suppressLineNumbers/>
    </w:pPr>
    <w:rPr>
      <w:rFonts w:cs="Droid Sans Devanagari"/>
    </w:rPr>
  </w:style>
  <w:style w:type="paragraph" w:styleId="21">
    <w:name w:val="TOC 2"/>
    <w:next w:val="Normal"/>
    <w:uiPriority w:val="39"/>
    <w:pPr>
      <w:widowControl/>
      <w:suppressAutoHyphens w:val="true"/>
      <w:bidi w:val="0"/>
      <w:spacing w:lineRule="auto" w:line="240" w:before="0" w:after="0"/>
      <w:ind w:left="200" w:right="0" w:hanging="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41">
    <w:name w:val="TOC 4"/>
    <w:next w:val="Normal"/>
    <w:uiPriority w:val="39"/>
    <w:pPr>
      <w:widowControl/>
      <w:suppressAutoHyphens w:val="true"/>
      <w:bidi w:val="0"/>
      <w:spacing w:lineRule="auto" w:line="240" w:before="0" w:after="0"/>
      <w:ind w:left="600" w:right="0" w:hanging="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6">
    <w:name w:val="TOC 6"/>
    <w:next w:val="Normal"/>
    <w:uiPriority w:val="39"/>
    <w:pPr>
      <w:widowControl/>
      <w:suppressAutoHyphens w:val="true"/>
      <w:bidi w:val="0"/>
      <w:spacing w:lineRule="auto" w:line="240" w:before="0" w:after="0"/>
      <w:ind w:left="1000" w:right="0" w:hanging="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7">
    <w:name w:val="TOC 7"/>
    <w:next w:val="Normal"/>
    <w:uiPriority w:val="39"/>
    <w:pPr>
      <w:widowControl/>
      <w:suppressAutoHyphens w:val="true"/>
      <w:bidi w:val="0"/>
      <w:spacing w:lineRule="auto" w:line="240" w:before="0" w:after="0"/>
      <w:ind w:left="1200" w:right="0" w:hanging="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FootnoteCharacters1">
    <w:name w:val="Footnote Characters"/>
    <w:basedOn w:val="DefaultParagraphFont1"/>
    <w:qFormat/>
    <w:pPr/>
    <w:rPr>
      <w:vertAlign w:val="superscript"/>
    </w:rPr>
  </w:style>
  <w:style w:type="paragraph" w:styleId="BalloonText1">
    <w:name w:val="Balloon Text"/>
    <w:basedOn w:val="Normal"/>
    <w:qFormat/>
    <w:pPr>
      <w:jc w:val="left"/>
    </w:pPr>
    <w:rPr>
      <w:rFonts w:ascii="Segoe UI" w:hAnsi="Segoe UI"/>
      <w:sz w:val="18"/>
    </w:rPr>
  </w:style>
  <w:style w:type="paragraph" w:styleId="31">
    <w:name w:val="TOC 3"/>
    <w:next w:val="Normal"/>
    <w:uiPriority w:val="39"/>
    <w:pPr>
      <w:widowControl/>
      <w:suppressAutoHyphens w:val="true"/>
      <w:bidi w:val="0"/>
      <w:spacing w:lineRule="auto" w:line="240" w:before="0" w:after="0"/>
      <w:ind w:left="400" w:right="0" w:hanging="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Style18">
    <w:name w:val="Верхний и нижний колонтитулы"/>
    <w:qFormat/>
    <w:pPr>
      <w:widowControl/>
      <w:suppressAutoHyphens w:val="true"/>
      <w:bidi w:val="0"/>
      <w:spacing w:lineRule="auto" w:line="360" w:before="0" w:after="0"/>
      <w:ind w:left="0" w:right="0" w:hanging="0"/>
      <w:jc w:val="left"/>
    </w:pPr>
    <w:rPr>
      <w:rFonts w:ascii="XO Thames" w:hAnsi="XO Thames" w:eastAsia="Tahoma" w:cs="Droid Sans Devanagari"/>
      <w:color w:val="000000"/>
      <w:spacing w:val="0"/>
      <w:kern w:val="0"/>
      <w:sz w:val="20"/>
      <w:szCs w:val="20"/>
      <w:lang w:val="ru-RU" w:eastAsia="zh-CN" w:bidi="hi-IN"/>
    </w:rPr>
  </w:style>
  <w:style w:type="paragraph" w:styleId="Style19">
    <w:name w:val="Колонтитул"/>
    <w:basedOn w:val="Normal"/>
    <w:qFormat/>
    <w:pPr/>
    <w:rPr/>
  </w:style>
  <w:style w:type="paragraph" w:styleId="Style20">
    <w:name w:val="Footer"/>
    <w:basedOn w:val="Normal"/>
    <w:pPr>
      <w:tabs>
        <w:tab w:val="clear" w:pos="720"/>
        <w:tab w:val="center" w:pos="4153" w:leader="none"/>
        <w:tab w:val="right" w:pos="8306" w:leader="none"/>
      </w:tabs>
      <w:jc w:val="left"/>
    </w:pPr>
    <w:rPr/>
  </w:style>
  <w:style w:type="paragraph" w:styleId="Internetlink">
    <w:name w:val="Internet link"/>
    <w:qFormat/>
    <w:pPr>
      <w:widowControl/>
      <w:suppressAutoHyphens w:val="true"/>
      <w:bidi w:val="0"/>
      <w:spacing w:lineRule="auto" w:line="240" w:before="0" w:after="0"/>
      <w:ind w:left="0" w:right="0" w:hanging="0"/>
      <w:jc w:val="left"/>
    </w:pPr>
    <w:rPr>
      <w:rFonts w:ascii="Calibri" w:hAnsi="Calibri" w:eastAsia="Tahoma" w:cs="Droid Sans Devanagari"/>
      <w:color w:val="0000FF"/>
      <w:spacing w:val="0"/>
      <w:kern w:val="0"/>
      <w:sz w:val="22"/>
      <w:szCs w:val="20"/>
      <w:u w:val="single"/>
      <w:lang w:val="ru-RU" w:eastAsia="zh-CN" w:bidi="hi-IN"/>
    </w:rPr>
  </w:style>
  <w:style w:type="paragraph" w:styleId="Footnote1">
    <w:name w:val="Footnote"/>
    <w:basedOn w:val="Normal"/>
    <w:qFormat/>
    <w:pPr>
      <w:jc w:val="left"/>
    </w:pPr>
    <w:rPr/>
  </w:style>
  <w:style w:type="paragraph" w:styleId="11">
    <w:name w:val="TOC 1"/>
    <w:next w:val="Normal"/>
    <w:uiPriority w:val="39"/>
    <w:pPr>
      <w:widowControl/>
      <w:suppressAutoHyphens w:val="true"/>
      <w:bidi w:val="0"/>
      <w:spacing w:lineRule="auto" w:line="240" w:before="0" w:after="0"/>
      <w:ind w:left="0" w:right="0" w:hanging="0"/>
      <w:jc w:val="left"/>
    </w:pPr>
    <w:rPr>
      <w:rFonts w:ascii="XO Thames" w:hAnsi="XO Thames" w:eastAsia="Tahoma" w:cs="Droid Sans Devanagari"/>
      <w:b/>
      <w:color w:val="000000"/>
      <w:spacing w:val="0"/>
      <w:kern w:val="0"/>
      <w:sz w:val="22"/>
      <w:szCs w:val="20"/>
      <w:lang w:val="ru-RU" w:eastAsia="zh-CN" w:bidi="hi-IN"/>
    </w:rPr>
  </w:style>
  <w:style w:type="paragraph" w:styleId="9">
    <w:name w:val="TOC 9"/>
    <w:next w:val="Normal"/>
    <w:uiPriority w:val="39"/>
    <w:pPr>
      <w:widowControl/>
      <w:suppressAutoHyphens w:val="true"/>
      <w:bidi w:val="0"/>
      <w:spacing w:lineRule="auto" w:line="240" w:before="0" w:after="0"/>
      <w:ind w:left="1600" w:right="0" w:hanging="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8">
    <w:name w:val="TOC 8"/>
    <w:next w:val="Normal"/>
    <w:uiPriority w:val="39"/>
    <w:pPr>
      <w:widowControl/>
      <w:suppressAutoHyphens w:val="true"/>
      <w:bidi w:val="0"/>
      <w:spacing w:lineRule="auto" w:line="240" w:before="0" w:after="0"/>
      <w:ind w:left="1400" w:right="0" w:hanging="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Style21">
    <w:name w:val="Header"/>
    <w:basedOn w:val="Normal"/>
    <w:pPr>
      <w:tabs>
        <w:tab w:val="clear" w:pos="720"/>
        <w:tab w:val="center" w:pos="4153" w:leader="none"/>
        <w:tab w:val="right" w:pos="8306" w:leader="none"/>
      </w:tabs>
      <w:jc w:val="left"/>
    </w:pPr>
    <w:rPr/>
  </w:style>
  <w:style w:type="paragraph" w:styleId="51">
    <w:name w:val="TOC 5"/>
    <w:next w:val="Normal"/>
    <w:uiPriority w:val="39"/>
    <w:pPr>
      <w:widowControl/>
      <w:suppressAutoHyphens w:val="true"/>
      <w:bidi w:val="0"/>
      <w:spacing w:lineRule="auto" w:line="240" w:before="0" w:after="0"/>
      <w:ind w:left="800" w:right="0" w:hanging="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DefaultParagraphFont1">
    <w:name w:val="Default Paragraph Font"/>
    <w:qFormat/>
    <w:pPr>
      <w:widowControl/>
      <w:suppressAutoHyphens w:val="true"/>
      <w:bidi w:val="0"/>
      <w:spacing w:lineRule="auto" w:line="240" w:before="0" w:after="0"/>
      <w:ind w:left="0" w:right="0" w:hanging="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Style22">
    <w:name w:val="Subtitle"/>
    <w:next w:val="Normal"/>
    <w:uiPriority w:val="11"/>
    <w:qFormat/>
    <w:pPr>
      <w:widowControl/>
      <w:suppressAutoHyphens w:val="true"/>
      <w:bidi w:val="0"/>
      <w:spacing w:lineRule="auto" w:line="240" w:before="0" w:after="0"/>
      <w:ind w:left="0" w:right="0" w:hanging="0"/>
      <w:jc w:val="left"/>
    </w:pPr>
    <w:rPr>
      <w:rFonts w:ascii="XO Thames" w:hAnsi="XO Thames" w:eastAsia="Tahoma" w:cs="Droid Sans Devanagari"/>
      <w:i/>
      <w:color w:val="616161"/>
      <w:spacing w:val="0"/>
      <w:kern w:val="0"/>
      <w:sz w:val="24"/>
      <w:szCs w:val="20"/>
      <w:lang w:val="ru-RU" w:eastAsia="zh-CN" w:bidi="hi-IN"/>
    </w:rPr>
  </w:style>
  <w:style w:type="paragraph" w:styleId="Toc101">
    <w:name w:val="toc 10"/>
    <w:next w:val="Normal"/>
    <w:uiPriority w:val="39"/>
    <w:qFormat/>
    <w:pPr>
      <w:widowControl/>
      <w:suppressAutoHyphens w:val="true"/>
      <w:bidi w:val="0"/>
      <w:spacing w:lineRule="auto" w:line="240" w:before="0" w:after="0"/>
      <w:ind w:left="1800" w:right="0" w:hanging="0"/>
      <w:jc w:val="left"/>
    </w:pPr>
    <w:rPr>
      <w:rFonts w:ascii="Calibri" w:hAnsi="Calibri" w:eastAsia="Tahoma" w:cs="Droid Sans Devanagari" w:asciiTheme="minorAscii" w:hAnsiTheme="minorHAnsi"/>
      <w:color w:val="000000"/>
      <w:spacing w:val="0"/>
      <w:kern w:val="0"/>
      <w:sz w:val="22"/>
      <w:szCs w:val="20"/>
      <w:lang w:val="ru-RU" w:eastAsia="zh-CN" w:bidi="hi-IN"/>
    </w:rPr>
  </w:style>
  <w:style w:type="paragraph" w:styleId="Style23">
    <w:name w:val="Title"/>
    <w:next w:val="Normal"/>
    <w:uiPriority w:val="10"/>
    <w:qFormat/>
    <w:pPr>
      <w:widowControl/>
      <w:suppressAutoHyphens w:val="true"/>
      <w:bidi w:val="0"/>
      <w:spacing w:lineRule="auto" w:line="240" w:before="0" w:after="0"/>
      <w:ind w:left="0" w:right="0" w:hanging="0"/>
      <w:jc w:val="left"/>
    </w:pPr>
    <w:rPr>
      <w:rFonts w:ascii="XO Thames" w:hAnsi="XO Thames" w:eastAsia="Tahoma" w:cs="Droid Sans Devanagari"/>
      <w:b/>
      <w:color w:val="000000"/>
      <w:spacing w:val="0"/>
      <w:kern w:val="0"/>
      <w:sz w:val="52"/>
      <w:szCs w:val="20"/>
      <w:lang w:val="ru-RU" w:eastAsia="zh-CN" w:bidi="hi-IN"/>
    </w:rPr>
  </w:style>
  <w:style w:type="paragraph" w:styleId="Style24">
    <w:name w:val="Footnote Text"/>
    <w:basedOn w:val="Normal"/>
    <w:pPr/>
    <w:rPr/>
  </w:style>
  <w:style w:type="paragraph" w:styleId="Style25">
    <w:name w:val="Содержимое таблицы"/>
    <w:basedOn w:val="Normal"/>
    <w:qFormat/>
    <w:pPr>
      <w:widowControl w:val="false"/>
      <w:suppressLineNumbers/>
    </w:pPr>
    <w:rPr/>
  </w:style>
  <w:style w:type="paragraph" w:styleId="Style26">
    <w:name w:val="Заголовок таблицы"/>
    <w:basedOn w:val="Style25"/>
    <w:qFormat/>
    <w:pPr>
      <w:suppressLineNumbers/>
      <w:jc w:val="center"/>
    </w:pPr>
    <w:rPr>
      <w:b/>
      <w:bCs/>
    </w:rPr>
  </w:style>
  <w:style w:type="table" w:default="1" w:styleId="Style_2">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asvg="http://schemas.microsoft.com/office/drawing/2016/SVG/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LibreOffice/7.5.3.2$Linux_X86_64 LibreOffice_project/9f56dff12ba03b9acd7730a5a481eea045e468f3</Application>
  <AppVersion>15.0000</AppVersion>
  <Pages>1</Pages>
  <Words>180</Words>
  <Characters>1706</Characters>
  <CharactersWithSpaces>1875</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2025-12-11T11:47:27Z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