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theme/theme1.xml" ContentType="application/vnd.openxmlformats-officedocument.theme+xml"/>
  <Override PartName="/word/footnotes.xml" ContentType="application/vnd.openxmlformats-officedocument.wordprocessingml.footnotes+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right"/>
        <w:rPr>
          <w:b/>
          <w:i/>
          <w:i/>
          <w:sz w:val="24"/>
        </w:rPr>
      </w:pPr>
      <w:r>
        <w:rPr>
          <w:b/>
          <w:i/>
          <w:sz w:val="24"/>
        </w:rPr>
        <w:t>Форма</w:t>
      </w:r>
    </w:p>
    <w:p>
      <w:pPr>
        <w:pStyle w:val="Normal"/>
        <w:jc w:val="right"/>
        <w:rPr>
          <w:i/>
          <w:i/>
          <w:sz w:val="24"/>
        </w:rPr>
      </w:pPr>
      <w:r>
        <w:rPr>
          <w:i/>
          <w:sz w:val="24"/>
        </w:rPr>
      </w:r>
    </w:p>
    <w:p>
      <w:pPr>
        <w:pStyle w:val="Normal"/>
        <w:ind w:left="5387" w:right="0" w:hanging="0"/>
        <w:jc w:val="center"/>
        <w:rPr>
          <w:rFonts w:ascii="Times New Roman" w:hAnsi="Times New Roman"/>
          <w:b/>
          <w:sz w:val="26"/>
        </w:rPr>
      </w:pPr>
      <w:r>
        <w:rPr>
          <w:b/>
          <w:sz w:val="26"/>
        </w:rPr>
        <w:t xml:space="preserve">Министерство транспорта </w:t>
      </w:r>
    </w:p>
    <w:p>
      <w:pPr>
        <w:pStyle w:val="Normal"/>
        <w:ind w:left="5387" w:right="0" w:hanging="0"/>
        <w:jc w:val="center"/>
        <w:rPr>
          <w:rFonts w:ascii="Times New Roman" w:hAnsi="Times New Roman"/>
          <w:b/>
          <w:sz w:val="26"/>
        </w:rPr>
      </w:pPr>
      <w:r>
        <w:rPr>
          <w:b/>
          <w:sz w:val="26"/>
        </w:rPr>
        <w:t>Российской Федерации</w:t>
      </w:r>
    </w:p>
    <w:p>
      <w:pPr>
        <w:pStyle w:val="Normal"/>
        <w:ind w:left="5387" w:right="0" w:hanging="0"/>
        <w:jc w:val="center"/>
        <w:rPr>
          <w:rFonts w:ascii="Times New Roman" w:hAnsi="Times New Roman"/>
          <w:b/>
          <w:sz w:val="26"/>
        </w:rPr>
      </w:pPr>
      <w:r>
        <w:rPr>
          <w:b/>
          <w:sz w:val="26"/>
        </w:rPr>
      </w:r>
    </w:p>
    <w:p>
      <w:pPr>
        <w:pStyle w:val="Normal"/>
        <w:ind w:left="5387" w:right="0" w:hanging="0"/>
        <w:jc w:val="center"/>
        <w:rPr>
          <w:rFonts w:ascii="Times New Roman" w:hAnsi="Times New Roman"/>
          <w:b w:val="false"/>
          <w:bCs w:val="false"/>
          <w:sz w:val="26"/>
        </w:rPr>
      </w:pPr>
      <w:r>
        <w:rPr>
          <w:b w:val="false"/>
          <w:bCs w:val="false"/>
          <w:sz w:val="26"/>
        </w:rPr>
        <w:t xml:space="preserve">ул. Рождественка, 1, стр. 1, </w:t>
      </w:r>
    </w:p>
    <w:p>
      <w:pPr>
        <w:pStyle w:val="Normal"/>
        <w:ind w:left="5387" w:right="0" w:hanging="0"/>
        <w:jc w:val="center"/>
        <w:rPr>
          <w:rFonts w:ascii="Times New Roman" w:hAnsi="Times New Roman"/>
          <w:b w:val="false"/>
          <w:bCs w:val="false"/>
          <w:sz w:val="26"/>
        </w:rPr>
      </w:pPr>
      <w:r>
        <w:rPr>
          <w:b w:val="false"/>
          <w:bCs w:val="false"/>
          <w:sz w:val="26"/>
        </w:rPr>
        <w:t>Москва, 109012</w:t>
      </w:r>
    </w:p>
    <w:p>
      <w:pPr>
        <w:pStyle w:val="Normal"/>
        <w:ind w:left="5387" w:right="0" w:hanging="0"/>
        <w:jc w:val="center"/>
        <w:rPr>
          <w:rFonts w:ascii="Times New Roman" w:hAnsi="Times New Roman"/>
          <w:b w:val="false"/>
          <w:bCs w:val="false"/>
          <w:sz w:val="26"/>
          <w:u w:val="single"/>
        </w:rPr>
      </w:pPr>
      <w:r>
        <w:rPr>
          <w:b w:val="false"/>
          <w:bCs w:val="false"/>
          <w:sz w:val="26"/>
          <w:u w:val="single"/>
        </w:rPr>
      </w:r>
    </w:p>
    <w:p>
      <w:pPr>
        <w:pStyle w:val="Normal"/>
        <w:ind w:left="5387" w:right="0" w:hanging="0"/>
        <w:jc w:val="center"/>
        <w:rPr>
          <w:b/>
          <w:sz w:val="26"/>
        </w:rPr>
      </w:pPr>
      <w:r>
        <w:rPr>
          <w:b/>
          <w:sz w:val="26"/>
        </w:rPr>
        <w:t>от_____________________________</w:t>
      </w:r>
    </w:p>
    <w:p>
      <w:pPr>
        <w:pStyle w:val="Normal"/>
        <w:ind w:left="5387" w:right="0" w:hanging="0"/>
        <w:jc w:val="center"/>
        <w:rPr>
          <w:i/>
          <w:i/>
          <w:sz w:val="22"/>
        </w:rPr>
      </w:pPr>
      <w:r>
        <w:rPr>
          <w:i/>
          <w:sz w:val="22"/>
        </w:rPr>
        <w:t xml:space="preserve">(наименование организации/ </w:t>
      </w:r>
    </w:p>
    <w:p>
      <w:pPr>
        <w:pStyle w:val="Normal"/>
        <w:ind w:left="5387" w:right="0" w:hanging="0"/>
        <w:jc w:val="center"/>
        <w:rPr>
          <w:i/>
          <w:i/>
          <w:sz w:val="22"/>
        </w:rPr>
      </w:pPr>
      <w:r>
        <w:rPr>
          <w:i/>
          <w:sz w:val="22"/>
        </w:rPr>
        <w:t>Ф.И.О.)</w:t>
      </w:r>
    </w:p>
    <w:p>
      <w:pPr>
        <w:pStyle w:val="Normal"/>
        <w:ind w:left="5387" w:right="0" w:hanging="0"/>
        <w:jc w:val="center"/>
        <w:rPr>
          <w:b/>
          <w:sz w:val="26"/>
        </w:rPr>
      </w:pPr>
      <w:r>
        <w:rPr>
          <w:b/>
          <w:sz w:val="26"/>
        </w:rPr>
        <w:t>_____________________________</w:t>
      </w:r>
    </w:p>
    <w:p>
      <w:pPr>
        <w:pStyle w:val="Normal"/>
        <w:ind w:left="5387" w:right="0" w:hanging="0"/>
        <w:jc w:val="center"/>
        <w:rPr>
          <w:b/>
          <w:sz w:val="26"/>
        </w:rPr>
      </w:pPr>
      <w:r>
        <w:rPr>
          <w:b/>
          <w:sz w:val="26"/>
        </w:rPr>
        <w:t>_____________________________</w:t>
      </w:r>
    </w:p>
    <w:p>
      <w:pPr>
        <w:pStyle w:val="Normal"/>
        <w:ind w:left="5387" w:right="0" w:hanging="0"/>
        <w:jc w:val="center"/>
        <w:rPr>
          <w:b/>
          <w:sz w:val="26"/>
        </w:rPr>
      </w:pPr>
      <w:r>
        <w:rPr>
          <w:b/>
          <w:sz w:val="26"/>
        </w:rPr>
        <w:t>_____________________________</w:t>
      </w:r>
    </w:p>
    <w:p>
      <w:pPr>
        <w:pStyle w:val="Normal"/>
        <w:ind w:left="5387" w:right="0" w:hanging="0"/>
        <w:jc w:val="center"/>
        <w:rPr>
          <w:i/>
          <w:i/>
          <w:sz w:val="22"/>
        </w:rPr>
      </w:pPr>
      <w:r>
        <w:rPr>
          <w:i/>
          <w:sz w:val="22"/>
        </w:rPr>
        <w:t xml:space="preserve">(адрес местонахождения/проживания с указанием почтового индекса и </w:t>
      </w:r>
    </w:p>
    <w:p>
      <w:pPr>
        <w:pStyle w:val="Normal"/>
        <w:ind w:left="5387" w:right="0" w:hanging="0"/>
        <w:jc w:val="center"/>
        <w:rPr>
          <w:i/>
          <w:i/>
          <w:sz w:val="22"/>
        </w:rPr>
      </w:pPr>
      <w:r>
        <w:rPr>
          <w:i/>
          <w:sz w:val="22"/>
        </w:rPr>
        <w:t>адреса электронной почты)</w:t>
      </w:r>
    </w:p>
    <w:p>
      <w:pPr>
        <w:pStyle w:val="Normal"/>
        <w:spacing w:before="240" w:after="0"/>
        <w:jc w:val="center"/>
        <w:rPr>
          <w:sz w:val="24"/>
        </w:rPr>
      </w:pPr>
      <w:r>
        <w:rPr>
          <w:b/>
          <w:sz w:val="26"/>
        </w:rPr>
        <w:t>ИНФОРМАЦИЯ</w:t>
        <w:br/>
      </w:r>
      <w:r>
        <w:rPr>
          <w:sz w:val="26"/>
        </w:rPr>
        <w:t xml:space="preserve">о замечаниях и предложениях </w:t>
      </w:r>
    </w:p>
    <w:p>
      <w:pPr>
        <w:pStyle w:val="Normal"/>
        <w:tabs>
          <w:tab w:val="clear" w:pos="720"/>
          <w:tab w:val="right" w:pos="9921" w:leader="none"/>
        </w:tabs>
        <w:rPr>
          <w:sz w:val="24"/>
        </w:rPr>
      </w:pPr>
      <w:r>
        <w:rPr>
          <w:sz w:val="24"/>
        </w:rPr>
        <w:tab/>
      </w:r>
    </w:p>
    <w:p>
      <w:pPr>
        <w:pStyle w:val="Normal"/>
        <w:tabs>
          <w:tab w:val="clear" w:pos="720"/>
          <w:tab w:val="right" w:pos="9921" w:leader="none"/>
        </w:tabs>
        <w:ind w:left="0" w:right="0" w:firstLine="567"/>
        <w:jc w:val="both"/>
        <w:rPr/>
      </w:pPr>
      <w:r>
        <w:rPr>
          <w:sz w:val="26"/>
          <w:szCs w:val="26"/>
        </w:rPr>
        <w:t xml:space="preserve">В связи с уведомлением </w:t>
      </w:r>
      <w:r>
        <w:rPr>
          <w:sz w:val="26"/>
          <w:szCs w:val="26"/>
        </w:rPr>
        <w:t>Минтранса России</w:t>
      </w:r>
      <w:r>
        <w:rPr>
          <w:sz w:val="26"/>
          <w:szCs w:val="26"/>
        </w:rPr>
        <w:t xml:space="preserve"> о начале сбора замечаний и предложений организаций и граждан по </w:t>
      </w:r>
      <w:r>
        <w:rPr>
          <w:color w:val="000000" w:themeColor="text1"/>
          <w:sz w:val="28"/>
          <w:szCs w:val="26"/>
        </w:rPr>
        <w:t xml:space="preserve">нормативным правовым актам </w:t>
      </w:r>
      <w:r>
        <w:rPr>
          <w:color w:val="000000" w:themeColor="text1"/>
          <w:sz w:val="28"/>
          <w:szCs w:val="26"/>
        </w:rPr>
        <w:t>Министерства</w:t>
      </w:r>
      <w:r>
        <w:rPr>
          <w:rFonts w:eastAsia="Tahoma" w:cs="Droid Sans Devanagari"/>
          <w:color w:val="000000" w:themeColor="text1"/>
          <w:spacing w:val="0"/>
          <w:kern w:val="0"/>
          <w:sz w:val="28"/>
          <w:szCs w:val="20"/>
          <w:lang w:val="ru-RU" w:eastAsia="zh-CN" w:bidi="hi-IN"/>
        </w:rPr>
        <w:t xml:space="preserve">, изданным в период </w:t>
      </w:r>
      <w:r>
        <w:rPr>
          <w:rFonts w:eastAsia="Tahoma" w:cs="Droid Sans Devanagari"/>
          <w:color w:val="000000" w:themeColor="text1"/>
          <w:spacing w:val="0"/>
          <w:kern w:val="0"/>
          <w:sz w:val="28"/>
          <w:szCs w:val="20"/>
          <w:u w:val="single"/>
          <w:lang w:val="ru-RU" w:eastAsia="zh-CN" w:bidi="hi-IN"/>
        </w:rPr>
        <w:t>с июля по декабрь 2024 года</w:t>
      </w:r>
      <w:r>
        <w:rPr>
          <w:rFonts w:eastAsia="Tahoma" w:cs="Droid Sans Devanagari"/>
          <w:color w:val="000000" w:themeColor="text1"/>
          <w:spacing w:val="0"/>
          <w:kern w:val="0"/>
          <w:sz w:val="28"/>
          <w:szCs w:val="20"/>
          <w:u w:val="none"/>
          <w:lang w:val="ru-RU" w:eastAsia="zh-CN" w:bidi="hi-IN"/>
        </w:rPr>
        <w:t xml:space="preserve"> и</w:t>
      </w:r>
      <w:r>
        <w:rPr>
          <w:rFonts w:eastAsia="Tahoma" w:cs="Droid Sans Devanagari"/>
          <w:color w:val="000000" w:themeColor="text1"/>
          <w:spacing w:val="0"/>
          <w:kern w:val="0"/>
          <w:sz w:val="28"/>
          <w:szCs w:val="20"/>
          <w:lang w:val="ru-RU" w:eastAsia="zh-CN" w:bidi="hi-IN"/>
        </w:rPr>
        <w:t xml:space="preserve"> размещенным на </w:t>
      </w:r>
      <w:r>
        <w:rPr>
          <w:rFonts w:eastAsia="Tahoma" w:cs="Droid Sans Devanagari"/>
          <w:color w:val="000000" w:themeColor="text1"/>
          <w:spacing w:val="0"/>
          <w:kern w:val="0"/>
          <w:sz w:val="28"/>
          <w:szCs w:val="20"/>
          <w:lang w:val="ru-RU" w:eastAsia="zh-CN" w:bidi="hi-IN"/>
        </w:rPr>
        <w:t>о</w:t>
      </w:r>
      <w:r>
        <w:rPr>
          <w:rFonts w:eastAsia="Tahoma" w:cs="Droid Sans Devanagari"/>
          <w:color w:val="000000" w:themeColor="text1"/>
          <w:spacing w:val="0"/>
          <w:kern w:val="0"/>
          <w:sz w:val="28"/>
          <w:szCs w:val="20"/>
          <w:lang w:val="ru-RU" w:eastAsia="zh-CN" w:bidi="hi-IN"/>
        </w:rPr>
        <w:t xml:space="preserve">фициальном интернет-портале правовой информации </w:t>
      </w:r>
      <w:r>
        <w:rPr>
          <w:rFonts w:eastAsia="Tahoma" w:cs="Droid Sans Devanagari"/>
          <w:color w:val="000000" w:themeColor="text1"/>
          <w:spacing w:val="0"/>
          <w:kern w:val="0"/>
          <w:sz w:val="28"/>
          <w:szCs w:val="20"/>
          <w:u w:val="single"/>
          <w:lang w:val="ru-RU" w:eastAsia="zh-CN" w:bidi="hi-IN"/>
        </w:rPr>
        <w:t>www.pravo.gov.ru,</w:t>
      </w:r>
      <w:r>
        <w:rPr>
          <w:sz w:val="26"/>
          <w:szCs w:val="26"/>
        </w:rPr>
        <w:t xml:space="preserve"> в целях выявления рисков нарушения антимонопольного законодательства Российской Федерации в рамках функционирования системы внутреннего контроля за соблюдением соответствия требованиям антимонопольного законодательства </w:t>
      </w:r>
      <w:r>
        <w:rPr>
          <w:color w:val="000000" w:themeColor="text1" w:themeShade="ff"/>
          <w:sz w:val="26"/>
          <w:szCs w:val="26"/>
        </w:rPr>
        <w:t>Российской Федерации</w:t>
      </w:r>
      <w:r>
        <w:rPr>
          <w:sz w:val="26"/>
          <w:szCs w:val="26"/>
        </w:rPr>
        <w:t xml:space="preserve">, сообщаем, что в нормативном правовом акте Минтранса России </w:t>
      </w:r>
      <w:r>
        <w:rPr>
          <w:sz w:val="26"/>
          <w:szCs w:val="26"/>
        </w:rPr>
        <w:t>__________</w:t>
      </w:r>
      <w:r>
        <w:rPr>
          <w:sz w:val="26"/>
        </w:rPr>
        <w:t>________________________________________</w:t>
      </w:r>
    </w:p>
    <w:p>
      <w:pPr>
        <w:pStyle w:val="Normal"/>
        <w:jc w:val="center"/>
        <w:rPr>
          <w:i/>
          <w:i/>
          <w:sz w:val="22"/>
        </w:rPr>
      </w:pPr>
      <w:r>
        <w:rPr>
          <w:i/>
          <w:sz w:val="22"/>
        </w:rPr>
        <w:t xml:space="preserve">                                                                        </w:t>
      </w:r>
      <w:r>
        <w:rPr>
          <w:i/>
          <w:sz w:val="22"/>
        </w:rPr>
        <w:t>(наименование и реквизиты нормативного правового акта)</w:t>
      </w:r>
    </w:p>
    <w:p>
      <w:pPr>
        <w:pStyle w:val="Normal"/>
        <w:jc w:val="both"/>
        <w:rPr>
          <w:i/>
          <w:i/>
          <w:sz w:val="22"/>
        </w:rPr>
      </w:pPr>
      <w:r>
        <w:rPr>
          <w:sz w:val="26"/>
        </w:rPr>
        <w:t xml:space="preserve">содержатся положения, влекущие риск нарушения антимонопольного законодательства: </w:t>
      </w:r>
    </w:p>
    <w:p>
      <w:pPr>
        <w:pStyle w:val="Normal"/>
        <w:jc w:val="both"/>
        <w:rPr>
          <w:i/>
          <w:i/>
          <w:sz w:val="22"/>
        </w:rPr>
      </w:pPr>
      <w:r>
        <w:rPr>
          <w:sz w:val="26"/>
        </w:rPr>
        <w:t>____________</w:t>
      </w:r>
      <w:r>
        <w:rPr>
          <w:sz w:val="26"/>
        </w:rPr>
        <w:t>__________________________________________________________________</w:t>
      </w:r>
      <w:r>
        <w:rPr>
          <w:rStyle w:val="Style10"/>
          <w:sz w:val="26"/>
        </w:rPr>
        <w:footnoteReference w:id="2"/>
      </w:r>
      <w:r>
        <w:rPr>
          <w:sz w:val="26"/>
        </w:rPr>
        <w:t>.</w:t>
      </w:r>
    </w:p>
    <w:p>
      <w:pPr>
        <w:pStyle w:val="Normal"/>
        <w:ind w:left="0" w:right="255" w:firstLine="567"/>
        <w:jc w:val="both"/>
        <w:rPr>
          <w:sz w:val="26"/>
        </w:rPr>
      </w:pPr>
      <w:r>
        <w:rPr>
          <w:sz w:val="26"/>
        </w:rPr>
      </w:r>
    </w:p>
    <w:p>
      <w:pPr>
        <w:pStyle w:val="Normal"/>
        <w:tabs>
          <w:tab w:val="clear" w:pos="720"/>
          <w:tab w:val="right" w:pos="9921" w:leader="none"/>
        </w:tabs>
        <w:ind w:left="0" w:right="0" w:firstLine="567"/>
        <w:jc w:val="both"/>
        <w:rPr>
          <w:sz w:val="26"/>
        </w:rPr>
      </w:pPr>
      <w:r>
        <w:rPr>
          <w:sz w:val="26"/>
        </w:rPr>
        <w:t>В целях устранения рисков нарушения антимонопольного законодательства предлагается:</w:t>
      </w:r>
    </w:p>
    <w:p>
      <w:pPr>
        <w:pStyle w:val="Normal"/>
        <w:tabs>
          <w:tab w:val="clear" w:pos="720"/>
          <w:tab w:val="right" w:pos="9921" w:leader="none"/>
        </w:tabs>
        <w:ind w:left="0" w:right="0" w:firstLine="567"/>
        <w:jc w:val="both"/>
        <w:rPr>
          <w:sz w:val="26"/>
        </w:rPr>
      </w:pPr>
      <w:r>
        <w:rPr>
          <w:sz w:val="26"/>
        </w:rPr>
        <w:t>_______________________________________________________________________</w:t>
        <w:tab/>
      </w:r>
    </w:p>
    <w:p>
      <w:pPr>
        <w:pStyle w:val="Normal"/>
        <w:ind w:left="0" w:right="113" w:firstLine="567"/>
        <w:jc w:val="center"/>
        <w:rPr>
          <w:i/>
          <w:i/>
          <w:sz w:val="22"/>
        </w:rPr>
      </w:pPr>
      <w:r>
        <w:rPr>
          <w:i/>
          <w:sz w:val="22"/>
        </w:rPr>
        <w:t>(указывается способ устранения рисков)</w:t>
      </w:r>
    </w:p>
    <w:p>
      <w:pPr>
        <w:pStyle w:val="Normal"/>
        <w:ind w:left="0" w:right="113" w:firstLine="567"/>
        <w:jc w:val="center"/>
        <w:rPr>
          <w:i/>
          <w:i/>
          <w:sz w:val="22"/>
        </w:rPr>
      </w:pPr>
      <w:r>
        <w:rPr>
          <w:i/>
          <w:sz w:val="22"/>
        </w:rPr>
      </w:r>
    </w:p>
    <w:p>
      <w:pPr>
        <w:pStyle w:val="Normal"/>
        <w:ind w:left="0" w:right="113" w:firstLine="567"/>
        <w:jc w:val="center"/>
        <w:rPr>
          <w:i/>
          <w:i/>
          <w:sz w:val="22"/>
        </w:rPr>
      </w:pPr>
      <w:r>
        <w:rPr>
          <w:i/>
          <w:sz w:val="22"/>
        </w:rPr>
      </w:r>
    </w:p>
    <w:tbl>
      <w:tblPr>
        <w:tblStyle w:val="Style_2"/>
        <w:tblW w:w="10064" w:type="dxa"/>
        <w:jc w:val="left"/>
        <w:tblInd w:w="0" w:type="dxa"/>
        <w:tblLayout w:type="fixed"/>
        <w:tblCellMar>
          <w:top w:w="0" w:type="dxa"/>
          <w:left w:w="28" w:type="dxa"/>
          <w:bottom w:w="0" w:type="dxa"/>
          <w:right w:w="28" w:type="dxa"/>
        </w:tblCellMar>
      </w:tblPr>
      <w:tblGrid>
        <w:gridCol w:w="378"/>
        <w:gridCol w:w="162"/>
        <w:gridCol w:w="1353"/>
        <w:gridCol w:w="378"/>
        <w:gridCol w:w="352"/>
        <w:gridCol w:w="541"/>
        <w:gridCol w:w="541"/>
        <w:gridCol w:w="2445"/>
        <w:gridCol w:w="160"/>
        <w:gridCol w:w="3753"/>
      </w:tblGrid>
      <w:tr>
        <w:trPr>
          <w:trHeight w:val="661" w:hRule="atLeast"/>
        </w:trPr>
        <w:tc>
          <w:tcPr>
            <w:tcW w:w="378" w:type="dxa"/>
            <w:tcBorders>
              <w:bottom w:val="single" w:sz="4" w:space="0" w:color="000000"/>
            </w:tcBorders>
            <w:vAlign w:val="bottom"/>
          </w:tcPr>
          <w:p>
            <w:pPr>
              <w:pStyle w:val="Normal"/>
              <w:widowControl w:val="false"/>
              <w:suppressAutoHyphens w:val="true"/>
              <w:spacing w:lineRule="auto" w:line="240" w:before="0" w:after="0"/>
              <w:ind w:left="0" w:right="0" w:firstLine="567"/>
              <w:jc w:val="both"/>
              <w:rPr>
                <w:sz w:val="26"/>
              </w:rPr>
            </w:pPr>
            <w:r>
              <w:rPr>
                <w:sz w:val="26"/>
              </w:rPr>
            </w:r>
          </w:p>
        </w:tc>
        <w:tc>
          <w:tcPr>
            <w:tcW w:w="162" w:type="dxa"/>
            <w:tcBorders/>
            <w:vAlign w:val="bottom"/>
          </w:tcPr>
          <w:p>
            <w:pPr>
              <w:pStyle w:val="Normal"/>
              <w:widowControl w:val="false"/>
              <w:suppressAutoHyphens w:val="true"/>
              <w:spacing w:lineRule="auto" w:line="240" w:before="0" w:after="0"/>
              <w:ind w:left="0" w:right="0" w:firstLine="567"/>
              <w:jc w:val="both"/>
              <w:rPr>
                <w:sz w:val="26"/>
              </w:rPr>
            </w:pPr>
            <w:r>
              <w:rPr>
                <w:sz w:val="26"/>
              </w:rPr>
            </w:r>
          </w:p>
        </w:tc>
        <w:tc>
          <w:tcPr>
            <w:tcW w:w="1353" w:type="dxa"/>
            <w:tcBorders>
              <w:bottom w:val="single" w:sz="4" w:space="0" w:color="000000"/>
            </w:tcBorders>
            <w:vAlign w:val="bottom"/>
          </w:tcPr>
          <w:p>
            <w:pPr>
              <w:pStyle w:val="Normal"/>
              <w:widowControl w:val="false"/>
              <w:suppressAutoHyphens w:val="true"/>
              <w:spacing w:lineRule="auto" w:line="240" w:before="0" w:after="0"/>
              <w:ind w:left="0" w:right="0" w:firstLine="567"/>
              <w:jc w:val="both"/>
              <w:rPr>
                <w:sz w:val="26"/>
              </w:rPr>
            </w:pPr>
            <w:r>
              <w:rPr>
                <w:sz w:val="26"/>
              </w:rPr>
            </w:r>
          </w:p>
        </w:tc>
        <w:tc>
          <w:tcPr>
            <w:tcW w:w="378" w:type="dxa"/>
            <w:tcBorders/>
            <w:vAlign w:val="bottom"/>
          </w:tcPr>
          <w:p>
            <w:pPr>
              <w:pStyle w:val="Normal"/>
              <w:widowControl w:val="false"/>
              <w:suppressAutoHyphens w:val="true"/>
              <w:spacing w:lineRule="auto" w:line="240" w:before="0" w:after="0"/>
              <w:ind w:left="0" w:right="0" w:hanging="0"/>
              <w:jc w:val="both"/>
              <w:rPr>
                <w:sz w:val="26"/>
              </w:rPr>
            </w:pPr>
            <w:r>
              <w:rPr>
                <w:color w:val="000000"/>
                <w:spacing w:val="0"/>
                <w:kern w:val="0"/>
                <w:sz w:val="26"/>
                <w:szCs w:val="20"/>
              </w:rPr>
              <w:t>20</w:t>
            </w:r>
          </w:p>
        </w:tc>
        <w:tc>
          <w:tcPr>
            <w:tcW w:w="352" w:type="dxa"/>
            <w:tcBorders>
              <w:bottom w:val="single" w:sz="4" w:space="0" w:color="000000"/>
            </w:tcBorders>
            <w:vAlign w:val="bottom"/>
          </w:tcPr>
          <w:p>
            <w:pPr>
              <w:pStyle w:val="Normal"/>
              <w:widowControl w:val="false"/>
              <w:suppressAutoHyphens w:val="true"/>
              <w:spacing w:lineRule="auto" w:line="240" w:before="0" w:after="0"/>
              <w:ind w:left="0" w:right="0" w:hanging="0"/>
              <w:jc w:val="both"/>
              <w:rPr>
                <w:sz w:val="26"/>
              </w:rPr>
            </w:pPr>
            <w:r>
              <w:rPr>
                <w:sz w:val="26"/>
              </w:rPr>
            </w:r>
          </w:p>
        </w:tc>
        <w:tc>
          <w:tcPr>
            <w:tcW w:w="541" w:type="dxa"/>
            <w:tcBorders/>
          </w:tcPr>
          <w:p>
            <w:pPr>
              <w:pStyle w:val="Normal"/>
              <w:widowControl w:val="false"/>
              <w:suppressAutoHyphens w:val="true"/>
              <w:spacing w:lineRule="auto" w:line="240" w:before="0" w:after="0"/>
              <w:jc w:val="both"/>
              <w:rPr>
                <w:sz w:val="26"/>
              </w:rPr>
            </w:pPr>
            <w:r>
              <w:rPr>
                <w:sz w:val="26"/>
              </w:rPr>
            </w:r>
          </w:p>
        </w:tc>
        <w:tc>
          <w:tcPr>
            <w:tcW w:w="541" w:type="dxa"/>
            <w:tcBorders/>
            <w:vAlign w:val="bottom"/>
          </w:tcPr>
          <w:p>
            <w:pPr>
              <w:pStyle w:val="Normal"/>
              <w:widowControl w:val="false"/>
              <w:suppressAutoHyphens w:val="true"/>
              <w:spacing w:lineRule="auto" w:line="240" w:before="0" w:after="0"/>
              <w:jc w:val="both"/>
              <w:rPr>
                <w:sz w:val="26"/>
              </w:rPr>
            </w:pPr>
            <w:r>
              <w:rPr>
                <w:sz w:val="26"/>
              </w:rPr>
            </w:r>
          </w:p>
        </w:tc>
        <w:tc>
          <w:tcPr>
            <w:tcW w:w="2445" w:type="dxa"/>
            <w:tcBorders>
              <w:bottom w:val="single" w:sz="4" w:space="0" w:color="000000"/>
            </w:tcBorders>
            <w:vAlign w:val="bottom"/>
          </w:tcPr>
          <w:p>
            <w:pPr>
              <w:pStyle w:val="Normal"/>
              <w:widowControl w:val="false"/>
              <w:suppressAutoHyphens w:val="true"/>
              <w:spacing w:lineRule="auto" w:line="240" w:before="0" w:after="0"/>
              <w:ind w:left="0" w:right="0" w:firstLine="567"/>
              <w:jc w:val="both"/>
              <w:rPr>
                <w:sz w:val="26"/>
              </w:rPr>
            </w:pPr>
            <w:r>
              <w:rPr>
                <w:sz w:val="26"/>
              </w:rPr>
            </w:r>
          </w:p>
        </w:tc>
        <w:tc>
          <w:tcPr>
            <w:tcW w:w="160" w:type="dxa"/>
            <w:tcBorders/>
            <w:vAlign w:val="bottom"/>
          </w:tcPr>
          <w:p>
            <w:pPr>
              <w:pStyle w:val="Normal"/>
              <w:widowControl w:val="false"/>
              <w:suppressAutoHyphens w:val="true"/>
              <w:spacing w:lineRule="auto" w:line="240" w:before="0" w:after="0"/>
              <w:ind w:left="0" w:right="0" w:firstLine="567"/>
              <w:jc w:val="both"/>
              <w:rPr>
                <w:sz w:val="26"/>
              </w:rPr>
            </w:pPr>
            <w:r>
              <w:rPr>
                <w:sz w:val="26"/>
              </w:rPr>
            </w:r>
          </w:p>
        </w:tc>
        <w:tc>
          <w:tcPr>
            <w:tcW w:w="3753" w:type="dxa"/>
            <w:tcBorders>
              <w:bottom w:val="single" w:sz="4" w:space="0" w:color="000000"/>
            </w:tcBorders>
            <w:vAlign w:val="bottom"/>
          </w:tcPr>
          <w:p>
            <w:pPr>
              <w:pStyle w:val="Normal"/>
              <w:widowControl w:val="false"/>
              <w:suppressAutoHyphens w:val="true"/>
              <w:spacing w:lineRule="auto" w:line="240" w:before="0" w:after="0"/>
              <w:ind w:left="0" w:right="0" w:firstLine="567"/>
              <w:jc w:val="both"/>
              <w:rPr>
                <w:sz w:val="26"/>
              </w:rPr>
            </w:pPr>
            <w:r>
              <w:rPr>
                <w:sz w:val="26"/>
              </w:rPr>
            </w:r>
          </w:p>
        </w:tc>
      </w:tr>
      <w:tr>
        <w:trPr>
          <w:trHeight w:val="297" w:hRule="atLeast"/>
        </w:trPr>
        <w:tc>
          <w:tcPr>
            <w:tcW w:w="378" w:type="dxa"/>
            <w:tcBorders/>
          </w:tcPr>
          <w:p>
            <w:pPr>
              <w:pStyle w:val="Normal"/>
              <w:widowControl w:val="false"/>
              <w:suppressAutoHyphens w:val="true"/>
              <w:spacing w:lineRule="auto" w:line="240" w:before="0" w:after="0"/>
              <w:jc w:val="center"/>
              <w:rPr>
                <w:sz w:val="24"/>
              </w:rPr>
            </w:pPr>
            <w:r>
              <w:rPr>
                <w:sz w:val="24"/>
              </w:rPr>
            </w:r>
          </w:p>
        </w:tc>
        <w:tc>
          <w:tcPr>
            <w:tcW w:w="162" w:type="dxa"/>
            <w:tcBorders/>
          </w:tcPr>
          <w:p>
            <w:pPr>
              <w:pStyle w:val="Normal"/>
              <w:widowControl w:val="false"/>
              <w:suppressAutoHyphens w:val="true"/>
              <w:spacing w:lineRule="auto" w:line="240" w:before="0" w:after="0"/>
              <w:jc w:val="center"/>
              <w:rPr>
                <w:sz w:val="24"/>
              </w:rPr>
            </w:pPr>
            <w:r>
              <w:rPr>
                <w:sz w:val="24"/>
              </w:rPr>
            </w:r>
          </w:p>
        </w:tc>
        <w:tc>
          <w:tcPr>
            <w:tcW w:w="1353" w:type="dxa"/>
            <w:tcBorders/>
          </w:tcPr>
          <w:p>
            <w:pPr>
              <w:pStyle w:val="Normal"/>
              <w:widowControl w:val="false"/>
              <w:suppressAutoHyphens w:val="true"/>
              <w:spacing w:lineRule="auto" w:line="240" w:before="0" w:after="0"/>
              <w:jc w:val="center"/>
              <w:rPr>
                <w:sz w:val="24"/>
              </w:rPr>
            </w:pPr>
            <w:r>
              <w:rPr>
                <w:sz w:val="24"/>
              </w:rPr>
            </w:r>
          </w:p>
        </w:tc>
        <w:tc>
          <w:tcPr>
            <w:tcW w:w="378" w:type="dxa"/>
            <w:tcBorders/>
          </w:tcPr>
          <w:p>
            <w:pPr>
              <w:pStyle w:val="Normal"/>
              <w:widowControl w:val="false"/>
              <w:suppressAutoHyphens w:val="true"/>
              <w:spacing w:lineRule="auto" w:line="240" w:before="0" w:after="0"/>
              <w:jc w:val="center"/>
              <w:rPr>
                <w:sz w:val="24"/>
              </w:rPr>
            </w:pPr>
            <w:r>
              <w:rPr>
                <w:sz w:val="24"/>
              </w:rPr>
            </w:r>
          </w:p>
        </w:tc>
        <w:tc>
          <w:tcPr>
            <w:tcW w:w="352" w:type="dxa"/>
            <w:tcBorders/>
          </w:tcPr>
          <w:p>
            <w:pPr>
              <w:pStyle w:val="Normal"/>
              <w:widowControl w:val="false"/>
              <w:suppressAutoHyphens w:val="true"/>
              <w:spacing w:lineRule="auto" w:line="240" w:before="0" w:after="0"/>
              <w:jc w:val="center"/>
              <w:rPr>
                <w:sz w:val="24"/>
              </w:rPr>
            </w:pPr>
            <w:r>
              <w:rPr>
                <w:sz w:val="24"/>
              </w:rPr>
            </w:r>
          </w:p>
        </w:tc>
        <w:tc>
          <w:tcPr>
            <w:tcW w:w="541" w:type="dxa"/>
            <w:tcBorders/>
          </w:tcPr>
          <w:p>
            <w:pPr>
              <w:pStyle w:val="Normal"/>
              <w:widowControl w:val="false"/>
              <w:suppressAutoHyphens w:val="true"/>
              <w:spacing w:lineRule="auto" w:line="240" w:before="0" w:after="0"/>
              <w:jc w:val="center"/>
              <w:rPr>
                <w:sz w:val="24"/>
              </w:rPr>
            </w:pPr>
            <w:r>
              <w:rPr>
                <w:sz w:val="24"/>
              </w:rPr>
            </w:r>
          </w:p>
        </w:tc>
        <w:tc>
          <w:tcPr>
            <w:tcW w:w="541" w:type="dxa"/>
            <w:tcBorders/>
          </w:tcPr>
          <w:p>
            <w:pPr>
              <w:pStyle w:val="Normal"/>
              <w:widowControl w:val="false"/>
              <w:suppressAutoHyphens w:val="true"/>
              <w:spacing w:lineRule="auto" w:line="240" w:before="0" w:after="0"/>
              <w:jc w:val="center"/>
              <w:rPr>
                <w:sz w:val="24"/>
              </w:rPr>
            </w:pPr>
            <w:r>
              <w:rPr>
                <w:sz w:val="24"/>
              </w:rPr>
            </w:r>
          </w:p>
        </w:tc>
        <w:tc>
          <w:tcPr>
            <w:tcW w:w="2445" w:type="dxa"/>
            <w:tcBorders/>
          </w:tcPr>
          <w:p>
            <w:pPr>
              <w:pStyle w:val="Normal"/>
              <w:widowControl w:val="false"/>
              <w:suppressAutoHyphens w:val="true"/>
              <w:spacing w:lineRule="auto" w:line="240" w:before="0" w:after="0"/>
              <w:jc w:val="center"/>
              <w:rPr>
                <w:sz w:val="24"/>
              </w:rPr>
            </w:pPr>
            <w:r>
              <w:rPr>
                <w:color w:val="000000"/>
                <w:spacing w:val="0"/>
                <w:kern w:val="0"/>
                <w:sz w:val="16"/>
                <w:szCs w:val="20"/>
              </w:rPr>
              <w:t>(подпись)</w:t>
            </w:r>
          </w:p>
        </w:tc>
        <w:tc>
          <w:tcPr>
            <w:tcW w:w="160" w:type="dxa"/>
            <w:tcBorders/>
          </w:tcPr>
          <w:p>
            <w:pPr>
              <w:pStyle w:val="Normal"/>
              <w:widowControl w:val="false"/>
              <w:suppressAutoHyphens w:val="true"/>
              <w:spacing w:lineRule="auto" w:line="240" w:before="0" w:after="0"/>
              <w:jc w:val="center"/>
              <w:rPr>
                <w:sz w:val="24"/>
              </w:rPr>
            </w:pPr>
            <w:r>
              <w:rPr>
                <w:sz w:val="24"/>
              </w:rPr>
            </w:r>
          </w:p>
        </w:tc>
        <w:tc>
          <w:tcPr>
            <w:tcW w:w="3753" w:type="dxa"/>
            <w:tcBorders/>
          </w:tcPr>
          <w:p>
            <w:pPr>
              <w:pStyle w:val="Normal"/>
              <w:widowControl w:val="false"/>
              <w:suppressAutoHyphens w:val="true"/>
              <w:spacing w:lineRule="auto" w:line="240" w:before="0" w:after="0"/>
              <w:jc w:val="center"/>
              <w:rPr>
                <w:sz w:val="24"/>
              </w:rPr>
            </w:pPr>
            <w:r>
              <w:rPr>
                <w:color w:val="000000"/>
                <w:spacing w:val="0"/>
                <w:kern w:val="0"/>
                <w:sz w:val="16"/>
                <w:szCs w:val="20"/>
              </w:rPr>
              <w:t>(расшифровка подписи))</w:t>
            </w:r>
          </w:p>
        </w:tc>
      </w:tr>
    </w:tbl>
    <w:p>
      <w:pPr>
        <w:pStyle w:val="Normal"/>
        <w:rPr>
          <w:sz w:val="24"/>
        </w:rPr>
      </w:pPr>
      <w:r>
        <w:rPr/>
      </w:r>
    </w:p>
    <w:sectPr>
      <w:footnotePr>
        <w:numFmt w:val="decimal"/>
      </w:footnotePr>
      <w:type w:val="nextPage"/>
      <w:pgSz w:w="11906" w:h="16838"/>
      <w:pgMar w:left="993" w:right="600" w:gutter="0" w:header="0" w:top="709" w:footer="0" w:bottom="567"/>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XO Thames">
    <w:charset w:val="01"/>
    <w:family w:val="roman"/>
    <w:pitch w:val="variable"/>
  </w:font>
  <w:font w:name="Segoe UI">
    <w:charset w:val="01"/>
    <w:family w:val="roman"/>
    <w:pitch w:val="variable"/>
  </w:font>
  <w:font w:name="Liberation Sans">
    <w:altName w:val="Arial"/>
    <w:charset w:val="01"/>
    <w:family w:val="roman"/>
    <w:pitch w:val="variable"/>
  </w:font>
</w:fonts>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footnote w:id="0" w:type="separator">
    <w:p>
      <w:pPr>
        <w:rPr>
          <w:sz w:val="12"/>
        </w:rPr>
      </w:pPr>
      <w:r>
        <w:separator/>
      </w:r>
    </w:p>
  </w:footnote>
  <w:footnote w:id="1" w:type="continuationSeparator">
    <w:p>
      <w:pPr>
        <w:rPr>
          <w:sz w:val="12"/>
        </w:rPr>
      </w:pPr>
      <w:r>
        <w:continuationSeparator/>
      </w:r>
    </w:p>
  </w:footnote>
  <w:footnote w:id="2">
    <w:p>
      <w:pPr>
        <w:pStyle w:val="Normal"/>
        <w:widowControl/>
        <w:suppressAutoHyphens w:val="true"/>
        <w:bidi w:val="0"/>
        <w:spacing w:lineRule="auto" w:line="240" w:before="0" w:after="0"/>
        <w:ind w:left="0" w:right="0" w:hanging="0"/>
        <w:jc w:val="both"/>
        <w:rPr/>
      </w:pPr>
      <w:r>
        <w:rPr>
          <w:rStyle w:val="Style9"/>
        </w:rPr>
        <w:footnoteRef/>
      </w:r>
      <w:r>
        <w:rPr>
          <w:sz w:val="22"/>
        </w:rPr>
        <w:t> </w:t>
      </w:r>
      <w:r>
        <w:rPr/>
        <w:t>Отражаются все положения нормативного правового акта, в котором содержатся положения, влекущие риск нарушения антимонопольного законодательства (с указанием разделов, глав, статей, частей, пунктов, подпунктов, абзацев) нормативного правового акта, со ссылкой на нормы Федерального закона от 26 июля 2006 г. № 135-ФЗ</w:t>
        <w:br/>
        <w:t xml:space="preserve">«О защите конкуренции» и правовым обоснованием возможных рисков нарушения антимонопольного законодательства. </w:t>
      </w:r>
    </w:p>
  </w:footnote>
</w:footnotes>
</file>

<file path=word/settings.xml><?xml version="1.0" encoding="utf-8"?>
<w:settings xmlns:w="http://schemas.openxmlformats.org/wordprocessingml/2006/main">
  <w:zoom w:percent="120"/>
  <w:defaultTabStop w:val="720"/>
  <w:autoHyphenation w:val="true"/>
  <w:footnotePr>
    <w:numFmt w:val="decimal"/>
    <w:footnote w:id="0"/>
    <w:footnote w:id="1"/>
  </w:footnotePr>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Tahoma" w:cs="Droid Sans Devanagari" w:asciiTheme="minorAscii" w:hAnsiTheme="minorHAnsi"/>
        <w:color w:val="000000"/>
        <w:sz w:val="22"/>
        <w:lang w:val="ru-RU" w:eastAsia="zh-CN" w:bidi="hi-IN"/>
      </w:rPr>
    </w:rPrDefault>
    <w:pPrDefault>
      <w:pPr>
        <w:suppressAutoHyphens w:val="true"/>
      </w:pPr>
    </w:pPrDefault>
  </w:docDefaults>
  <w:latentStyles w:defLockedState="0" w:defUIPriority="99" w:defSemiHidden="1" w:defUnhideWhenUsed="1" w:defQFormat="0" w:count="26">
    <w:lsdException w:name="Normal" w:uiPriority="0" w:semiHidden="0" w:unhideWhenUsed="0" w:qFormat="1"/>
    <w:lsdException w:name="heading 1" w:uiPriority="9" w:semiHidden="0" w:unhideWhenUsed="0" w:qFormat="1"/>
    <w:lsdException w:name="heading 2" w:uiPriority="9" w:semiHidden="0" w:unhideWhenUsed="0" w:qFormat="1"/>
    <w:lsdException w:name="heading 3" w:uiPriority="9" w:semiHidden="0" w:unhideWhenUsed="0" w:qFormat="1"/>
    <w:lsdException w:name="heading 4" w:uiPriority="9" w:semiHidden="0" w:unhideWhenUsed="0" w:qFormat="1"/>
    <w:lsdException w:name="heading 5" w:uiPriority="9" w:semiHidden="0" w:unhideWhenUsed="0"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heading 10" w:uiPriority="9" w:semiHidden="1" w:unhideWhenUsed="1" w:qFormat="1"/>
    <w:lsdException w:name="Title" w:uiPriority="10" w:semiHidden="0" w:unhideWhenUsed="0" w:qFormat="1"/>
    <w:lsdException w:name="Subtitle" w:uiPriority="11" w:semiHidden="0" w:unhideWhenUsed="0" w:qFormat="1"/>
    <w:lsdException w:name="Header and Footer" w:semiHidden="0" w:unhideWhenUsed="0" w:qFormat="0"/>
    <w:lsdException w:name="Footnote" w:semiHidden="0" w:unhideWhenUsed="0" w:qFormat="0"/>
    <w:lsdException w:name="toc 1" w:uiPriority="39" w:semiHidden="0" w:unhideWhenUsed="0" w:qFormat="0"/>
    <w:lsdException w:name="toc 2" w:uiPriority="39" w:semiHidden="0" w:unhideWhenUsed="0" w:qFormat="0"/>
    <w:lsdException w:name="toc 3" w:uiPriority="39" w:semiHidden="0" w:unhideWhenUsed="0" w:qFormat="0"/>
    <w:lsdException w:name="toc 4" w:uiPriority="39" w:semiHidden="0" w:unhideWhenUsed="0" w:qFormat="0"/>
    <w:lsdException w:name="toc 5" w:uiPriority="39" w:semiHidden="0" w:unhideWhenUsed="0" w:qFormat="0"/>
    <w:lsdException w:name="toc 6" w:uiPriority="39" w:semiHidden="0" w:unhideWhenUsed="0" w:qFormat="0"/>
    <w:lsdException w:name="toc 7" w:uiPriority="39" w:semiHidden="0" w:unhideWhenUsed="0" w:qFormat="0"/>
    <w:lsdException w:name="toc 8" w:uiPriority="39" w:semiHidden="0" w:unhideWhenUsed="0" w:qFormat="0"/>
    <w:lsdException w:name="toc 9" w:uiPriority="39" w:semiHidden="0" w:unhideWhenUsed="0" w:qFormat="0"/>
    <w:lsdException w:name="toc 10" w:uiPriority="39" w:semiHidden="0" w:unhideWhenUsed="0" w:qFormat="0"/>
    <w:lsdException w:name="Hyperlink" w:semiHidden="0" w:unhideWhenUsed="0" w:qFormat="0"/>
  </w:latentStyles>
  <w:style w:type="paragraph" w:styleId="Normal" w:default="1">
    <w:name w:val="Normal"/>
    <w:uiPriority w:val="0"/>
    <w:qFormat/>
    <w:pPr>
      <w:widowControl/>
      <w:suppressAutoHyphens w:val="true"/>
      <w:bidi w:val="0"/>
      <w:spacing w:lineRule="auto" w:line="240" w:before="0" w:after="0"/>
      <w:ind w:left="0" w:right="0" w:hanging="0"/>
      <w:jc w:val="left"/>
    </w:pPr>
    <w:rPr>
      <w:rFonts w:ascii="Times New Roman" w:hAnsi="Times New Roman" w:eastAsia="Tahoma" w:cs="Droid Sans Devanagari"/>
      <w:color w:val="000000"/>
      <w:spacing w:val="0"/>
      <w:kern w:val="0"/>
      <w:sz w:val="20"/>
      <w:szCs w:val="20"/>
      <w:lang w:val="ru-RU" w:eastAsia="zh-CN" w:bidi="hi-IN"/>
    </w:rPr>
  </w:style>
  <w:style w:type="paragraph" w:styleId="1">
    <w:name w:val="Heading 1"/>
    <w:next w:val="Normal"/>
    <w:uiPriority w:val="9"/>
    <w:qFormat/>
    <w:pPr>
      <w:widowControl/>
      <w:suppressAutoHyphens w:val="true"/>
      <w:bidi w:val="0"/>
      <w:spacing w:lineRule="auto" w:line="240" w:before="120" w:after="120"/>
      <w:ind w:left="0" w:right="0" w:hanging="0"/>
      <w:jc w:val="left"/>
      <w:outlineLvl w:val="0"/>
    </w:pPr>
    <w:rPr>
      <w:rFonts w:ascii="XO Thames" w:hAnsi="XO Thames" w:eastAsia="Tahoma" w:cs="Droid Sans Devanagari"/>
      <w:b/>
      <w:color w:val="000000"/>
      <w:spacing w:val="0"/>
      <w:kern w:val="0"/>
      <w:sz w:val="32"/>
      <w:szCs w:val="20"/>
      <w:lang w:val="ru-RU" w:eastAsia="zh-CN" w:bidi="hi-IN"/>
    </w:rPr>
  </w:style>
  <w:style w:type="paragraph" w:styleId="2">
    <w:name w:val="Heading 2"/>
    <w:next w:val="Normal"/>
    <w:uiPriority w:val="9"/>
    <w:qFormat/>
    <w:pPr>
      <w:widowControl/>
      <w:suppressAutoHyphens w:val="true"/>
      <w:bidi w:val="0"/>
      <w:spacing w:lineRule="auto" w:line="240" w:before="120" w:after="120"/>
      <w:ind w:left="0" w:right="0" w:hanging="0"/>
      <w:jc w:val="left"/>
      <w:outlineLvl w:val="1"/>
    </w:pPr>
    <w:rPr>
      <w:rFonts w:ascii="XO Thames" w:hAnsi="XO Thames" w:eastAsia="Tahoma" w:cs="Droid Sans Devanagari"/>
      <w:b/>
      <w:color w:val="00A0FF"/>
      <w:spacing w:val="0"/>
      <w:kern w:val="0"/>
      <w:sz w:val="26"/>
      <w:szCs w:val="20"/>
      <w:lang w:val="ru-RU" w:eastAsia="zh-CN" w:bidi="hi-IN"/>
    </w:rPr>
  </w:style>
  <w:style w:type="paragraph" w:styleId="3">
    <w:name w:val="Heading 3"/>
    <w:next w:val="Normal"/>
    <w:uiPriority w:val="9"/>
    <w:qFormat/>
    <w:pPr>
      <w:widowControl/>
      <w:suppressAutoHyphens w:val="true"/>
      <w:bidi w:val="0"/>
      <w:spacing w:lineRule="auto" w:line="240" w:before="0" w:after="0"/>
      <w:ind w:left="0" w:right="0" w:hanging="0"/>
      <w:jc w:val="left"/>
      <w:outlineLvl w:val="2"/>
    </w:pPr>
    <w:rPr>
      <w:rFonts w:ascii="XO Thames" w:hAnsi="XO Thames" w:eastAsia="Tahoma" w:cs="Droid Sans Devanagari"/>
      <w:b/>
      <w:i/>
      <w:color w:val="000000"/>
      <w:spacing w:val="0"/>
      <w:kern w:val="0"/>
      <w:sz w:val="22"/>
      <w:szCs w:val="20"/>
      <w:lang w:val="ru-RU" w:eastAsia="zh-CN" w:bidi="hi-IN"/>
    </w:rPr>
  </w:style>
  <w:style w:type="paragraph" w:styleId="4">
    <w:name w:val="Heading 4"/>
    <w:next w:val="Normal"/>
    <w:uiPriority w:val="9"/>
    <w:qFormat/>
    <w:pPr>
      <w:widowControl/>
      <w:suppressAutoHyphens w:val="true"/>
      <w:bidi w:val="0"/>
      <w:spacing w:lineRule="auto" w:line="240" w:before="120" w:after="120"/>
      <w:ind w:left="0" w:right="0" w:hanging="0"/>
      <w:jc w:val="left"/>
      <w:outlineLvl w:val="3"/>
    </w:pPr>
    <w:rPr>
      <w:rFonts w:ascii="XO Thames" w:hAnsi="XO Thames" w:eastAsia="Tahoma" w:cs="Droid Sans Devanagari"/>
      <w:b/>
      <w:color w:val="595959"/>
      <w:spacing w:val="0"/>
      <w:kern w:val="0"/>
      <w:sz w:val="26"/>
      <w:szCs w:val="20"/>
      <w:lang w:val="ru-RU" w:eastAsia="zh-CN" w:bidi="hi-IN"/>
    </w:rPr>
  </w:style>
  <w:style w:type="paragraph" w:styleId="5">
    <w:name w:val="Heading 5"/>
    <w:next w:val="Normal"/>
    <w:uiPriority w:val="9"/>
    <w:qFormat/>
    <w:pPr>
      <w:widowControl/>
      <w:suppressAutoHyphens w:val="true"/>
      <w:bidi w:val="0"/>
      <w:spacing w:lineRule="auto" w:line="240" w:before="120" w:after="120"/>
      <w:ind w:left="0" w:right="0" w:hanging="0"/>
      <w:jc w:val="left"/>
      <w:outlineLvl w:val="4"/>
    </w:pPr>
    <w:rPr>
      <w:rFonts w:ascii="XO Thames" w:hAnsi="XO Thames" w:eastAsia="Tahoma" w:cs="Droid Sans Devanagari"/>
      <w:b/>
      <w:color w:val="000000"/>
      <w:spacing w:val="0"/>
      <w:kern w:val="0"/>
      <w:sz w:val="22"/>
      <w:szCs w:val="20"/>
      <w:lang w:val="ru-RU" w:eastAsia="zh-CN" w:bidi="hi-IN"/>
    </w:rPr>
  </w:style>
  <w:style w:type="character" w:styleId="Contents2">
    <w:name w:val="Contents 2"/>
    <w:qFormat/>
    <w:rPr/>
  </w:style>
  <w:style w:type="character" w:styleId="Contents4">
    <w:name w:val="Contents 4"/>
    <w:qFormat/>
    <w:rPr/>
  </w:style>
  <w:style w:type="character" w:styleId="Contents6">
    <w:name w:val="Contents 6"/>
    <w:qFormat/>
    <w:rPr/>
  </w:style>
  <w:style w:type="character" w:styleId="Contents7">
    <w:name w:val="Contents 7"/>
    <w:qFormat/>
    <w:rPr/>
  </w:style>
  <w:style w:type="character" w:styleId="Heading3">
    <w:name w:val="Heading 3"/>
    <w:qFormat/>
    <w:rPr>
      <w:rFonts w:ascii="XO Thames" w:hAnsi="XO Thames"/>
      <w:b/>
      <w:i/>
      <w:color w:val="000000"/>
    </w:rPr>
  </w:style>
  <w:style w:type="character" w:styleId="Style9">
    <w:name w:val="Символ сноски"/>
    <w:qFormat/>
    <w:rPr>
      <w:vertAlign w:val="superscript"/>
    </w:rPr>
  </w:style>
  <w:style w:type="character" w:styleId="Style10">
    <w:name w:val="Footnote Reference"/>
    <w:rPr>
      <w:vertAlign w:val="superscript"/>
    </w:rPr>
  </w:style>
  <w:style w:type="character" w:styleId="FootnoteCharacters">
    <w:name w:val="Footnote Characters"/>
    <w:basedOn w:val="DefaultParagraphFont"/>
    <w:qFormat/>
    <w:rPr>
      <w:vertAlign w:val="superscript"/>
    </w:rPr>
  </w:style>
  <w:style w:type="character" w:styleId="BalloonText">
    <w:name w:val="Balloon Text"/>
    <w:qFormat/>
    <w:rPr>
      <w:rFonts w:ascii="Segoe UI" w:hAnsi="Segoe UI"/>
      <w:sz w:val="18"/>
    </w:rPr>
  </w:style>
  <w:style w:type="character" w:styleId="Contents3">
    <w:name w:val="Contents 3"/>
    <w:qFormat/>
    <w:rPr/>
  </w:style>
  <w:style w:type="character" w:styleId="Footer">
    <w:name w:val="Footer"/>
    <w:qFormat/>
    <w:rPr/>
  </w:style>
  <w:style w:type="character" w:styleId="Heading5">
    <w:name w:val="Heading 5"/>
    <w:qFormat/>
    <w:rPr>
      <w:rFonts w:ascii="XO Thames" w:hAnsi="XO Thames"/>
      <w:b/>
      <w:color w:val="000000"/>
      <w:sz w:val="22"/>
    </w:rPr>
  </w:style>
  <w:style w:type="character" w:styleId="Heading1">
    <w:name w:val="Heading 1"/>
    <w:qFormat/>
    <w:rPr>
      <w:rFonts w:ascii="XO Thames" w:hAnsi="XO Thames"/>
      <w:b/>
      <w:sz w:val="32"/>
    </w:rPr>
  </w:style>
  <w:style w:type="character" w:styleId="-">
    <w:name w:val="Hyperlink"/>
    <w:rPr>
      <w:color w:val="0000FF"/>
      <w:u w:val="single"/>
    </w:rPr>
  </w:style>
  <w:style w:type="character" w:styleId="Footnote">
    <w:name w:val="Footnote"/>
    <w:qFormat/>
    <w:rPr/>
  </w:style>
  <w:style w:type="character" w:styleId="Contents1">
    <w:name w:val="Contents 1"/>
    <w:qFormat/>
    <w:rPr>
      <w:rFonts w:ascii="XO Thames" w:hAnsi="XO Thames"/>
      <w:b/>
    </w:rPr>
  </w:style>
  <w:style w:type="character" w:styleId="HeaderandFooter">
    <w:name w:val="Header and Footer"/>
    <w:qFormat/>
    <w:rPr>
      <w:rFonts w:ascii="XO Thames" w:hAnsi="XO Thames"/>
      <w:sz w:val="20"/>
    </w:rPr>
  </w:style>
  <w:style w:type="character" w:styleId="Contents9">
    <w:name w:val="Contents 9"/>
    <w:qFormat/>
    <w:rPr/>
  </w:style>
  <w:style w:type="character" w:styleId="Contents8">
    <w:name w:val="Contents 8"/>
    <w:qFormat/>
    <w:rPr/>
  </w:style>
  <w:style w:type="character" w:styleId="Header">
    <w:name w:val="Header"/>
    <w:qFormat/>
    <w:rPr/>
  </w:style>
  <w:style w:type="character" w:styleId="Contents5">
    <w:name w:val="Contents 5"/>
    <w:qFormat/>
    <w:rPr/>
  </w:style>
  <w:style w:type="character" w:styleId="DefaultParagraphFont">
    <w:name w:val="Default Paragraph Font"/>
    <w:qFormat/>
    <w:rPr/>
  </w:style>
  <w:style w:type="character" w:styleId="Subtitle">
    <w:name w:val="Subtitle"/>
    <w:qFormat/>
    <w:rPr>
      <w:rFonts w:ascii="XO Thames" w:hAnsi="XO Thames"/>
      <w:i/>
      <w:color w:val="616161"/>
      <w:sz w:val="24"/>
    </w:rPr>
  </w:style>
  <w:style w:type="character" w:styleId="Toc10">
    <w:name w:val="toc 10"/>
    <w:qFormat/>
    <w:rPr/>
  </w:style>
  <w:style w:type="character" w:styleId="Title">
    <w:name w:val="Title"/>
    <w:qFormat/>
    <w:rPr>
      <w:rFonts w:ascii="XO Thames" w:hAnsi="XO Thames"/>
      <w:b/>
      <w:sz w:val="52"/>
    </w:rPr>
  </w:style>
  <w:style w:type="character" w:styleId="Heading4">
    <w:name w:val="Heading 4"/>
    <w:qFormat/>
    <w:rPr>
      <w:rFonts w:ascii="XO Thames" w:hAnsi="XO Thames"/>
      <w:b/>
      <w:color w:val="595959"/>
      <w:sz w:val="26"/>
    </w:rPr>
  </w:style>
  <w:style w:type="character" w:styleId="Heading2">
    <w:name w:val="Heading 2"/>
    <w:qFormat/>
    <w:rPr>
      <w:rFonts w:ascii="XO Thames" w:hAnsi="XO Thames"/>
      <w:b/>
      <w:color w:val="00A0FF"/>
      <w:sz w:val="26"/>
    </w:rPr>
  </w:style>
  <w:style w:type="character" w:styleId="Style11">
    <w:name w:val="Символ концевой сноски"/>
    <w:qFormat/>
    <w:rPr>
      <w:vertAlign w:val="superscript"/>
    </w:rPr>
  </w:style>
  <w:style w:type="character" w:styleId="Style12">
    <w:name w:val="Endnote Reference"/>
    <w:rPr>
      <w:vertAlign w:val="superscript"/>
    </w:rPr>
  </w:style>
  <w:style w:type="paragraph" w:styleId="Style13">
    <w:name w:val="Заголовок"/>
    <w:basedOn w:val="Normal"/>
    <w:next w:val="Style14"/>
    <w:qFormat/>
    <w:pPr>
      <w:keepNext w:val="true"/>
      <w:spacing w:before="240" w:after="120"/>
    </w:pPr>
    <w:rPr>
      <w:rFonts w:ascii="Liberation Sans" w:hAnsi="Liberation Sans" w:eastAsia="Tahoma" w:cs="Droid Sans Devanagari"/>
      <w:sz w:val="28"/>
      <w:szCs w:val="28"/>
    </w:rPr>
  </w:style>
  <w:style w:type="paragraph" w:styleId="Style14">
    <w:name w:val="Body Text"/>
    <w:basedOn w:val="Normal"/>
    <w:pPr>
      <w:spacing w:lineRule="auto" w:line="276" w:before="0" w:after="140"/>
    </w:pPr>
    <w:rPr/>
  </w:style>
  <w:style w:type="paragraph" w:styleId="Style15">
    <w:name w:val="List"/>
    <w:basedOn w:val="Style14"/>
    <w:pPr/>
    <w:rPr>
      <w:rFonts w:cs="Droid Sans Devanagari"/>
    </w:rPr>
  </w:style>
  <w:style w:type="paragraph" w:styleId="Style16">
    <w:name w:val="Caption"/>
    <w:basedOn w:val="Normal"/>
    <w:qFormat/>
    <w:pPr>
      <w:suppressLineNumbers/>
      <w:spacing w:before="120" w:after="120"/>
    </w:pPr>
    <w:rPr>
      <w:rFonts w:cs="Droid Sans Devanagari"/>
      <w:i/>
      <w:iCs/>
      <w:sz w:val="24"/>
      <w:szCs w:val="24"/>
    </w:rPr>
  </w:style>
  <w:style w:type="paragraph" w:styleId="Style17">
    <w:name w:val="Указатель"/>
    <w:basedOn w:val="Normal"/>
    <w:qFormat/>
    <w:pPr>
      <w:suppressLineNumbers/>
    </w:pPr>
    <w:rPr>
      <w:rFonts w:cs="Droid Sans Devanagari"/>
    </w:rPr>
  </w:style>
  <w:style w:type="paragraph" w:styleId="21">
    <w:name w:val="TOC 2"/>
    <w:next w:val="Normal"/>
    <w:uiPriority w:val="39"/>
    <w:pPr>
      <w:widowControl/>
      <w:suppressAutoHyphens w:val="true"/>
      <w:bidi w:val="0"/>
      <w:spacing w:lineRule="auto" w:line="240" w:before="0" w:after="0"/>
      <w:ind w:left="2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41">
    <w:name w:val="TOC 4"/>
    <w:next w:val="Normal"/>
    <w:uiPriority w:val="39"/>
    <w:pPr>
      <w:widowControl/>
      <w:suppressAutoHyphens w:val="true"/>
      <w:bidi w:val="0"/>
      <w:spacing w:lineRule="auto" w:line="240" w:before="0" w:after="0"/>
      <w:ind w:left="6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6">
    <w:name w:val="TOC 6"/>
    <w:next w:val="Normal"/>
    <w:uiPriority w:val="39"/>
    <w:pPr>
      <w:widowControl/>
      <w:suppressAutoHyphens w:val="true"/>
      <w:bidi w:val="0"/>
      <w:spacing w:lineRule="auto" w:line="240" w:before="0" w:after="0"/>
      <w:ind w:left="10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7">
    <w:name w:val="TOC 7"/>
    <w:next w:val="Normal"/>
    <w:uiPriority w:val="39"/>
    <w:pPr>
      <w:widowControl/>
      <w:suppressAutoHyphens w:val="true"/>
      <w:bidi w:val="0"/>
      <w:spacing w:lineRule="auto" w:line="240" w:before="0" w:after="0"/>
      <w:ind w:left="12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FootnoteCharacters1">
    <w:name w:val="Footnote Characters"/>
    <w:basedOn w:val="DefaultParagraphFont1"/>
    <w:qFormat/>
    <w:pPr/>
    <w:rPr>
      <w:vertAlign w:val="superscript"/>
    </w:rPr>
  </w:style>
  <w:style w:type="paragraph" w:styleId="BalloonText1">
    <w:name w:val="Balloon Text"/>
    <w:basedOn w:val="Normal"/>
    <w:qFormat/>
    <w:pPr>
      <w:jc w:val="left"/>
    </w:pPr>
    <w:rPr>
      <w:rFonts w:ascii="Segoe UI" w:hAnsi="Segoe UI"/>
      <w:sz w:val="18"/>
    </w:rPr>
  </w:style>
  <w:style w:type="paragraph" w:styleId="31">
    <w:name w:val="TOC 3"/>
    <w:next w:val="Normal"/>
    <w:uiPriority w:val="39"/>
    <w:pPr>
      <w:widowControl/>
      <w:suppressAutoHyphens w:val="true"/>
      <w:bidi w:val="0"/>
      <w:spacing w:lineRule="auto" w:line="240" w:before="0" w:after="0"/>
      <w:ind w:left="4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Style18">
    <w:name w:val="Верхний и нижний колонтитулы"/>
    <w:qFormat/>
    <w:pPr>
      <w:widowControl/>
      <w:suppressAutoHyphens w:val="true"/>
      <w:bidi w:val="0"/>
      <w:spacing w:lineRule="auto" w:line="360" w:before="0" w:after="0"/>
      <w:ind w:left="0" w:right="0" w:hanging="0"/>
      <w:jc w:val="left"/>
    </w:pPr>
    <w:rPr>
      <w:rFonts w:ascii="XO Thames" w:hAnsi="XO Thames" w:eastAsia="Tahoma" w:cs="Droid Sans Devanagari"/>
      <w:color w:val="000000"/>
      <w:spacing w:val="0"/>
      <w:kern w:val="0"/>
      <w:sz w:val="20"/>
      <w:szCs w:val="20"/>
      <w:lang w:val="ru-RU" w:eastAsia="zh-CN" w:bidi="hi-IN"/>
    </w:rPr>
  </w:style>
  <w:style w:type="paragraph" w:styleId="Style19">
    <w:name w:val="Колонтитул"/>
    <w:basedOn w:val="Normal"/>
    <w:qFormat/>
    <w:pPr/>
    <w:rPr/>
  </w:style>
  <w:style w:type="paragraph" w:styleId="Style20">
    <w:name w:val="Footer"/>
    <w:basedOn w:val="Normal"/>
    <w:pPr>
      <w:tabs>
        <w:tab w:val="clear" w:pos="720"/>
        <w:tab w:val="center" w:pos="4153" w:leader="none"/>
        <w:tab w:val="right" w:pos="8306" w:leader="none"/>
      </w:tabs>
      <w:jc w:val="left"/>
    </w:pPr>
    <w:rPr/>
  </w:style>
  <w:style w:type="paragraph" w:styleId="Internetlink">
    <w:name w:val="Internet link"/>
    <w:qFormat/>
    <w:pPr>
      <w:widowControl/>
      <w:suppressAutoHyphens w:val="true"/>
      <w:bidi w:val="0"/>
      <w:spacing w:lineRule="auto" w:line="240" w:before="0" w:after="0"/>
      <w:ind w:left="0" w:right="0" w:hanging="0"/>
      <w:jc w:val="left"/>
    </w:pPr>
    <w:rPr>
      <w:rFonts w:ascii="Calibri" w:hAnsi="Calibri" w:eastAsia="Tahoma" w:cs="Droid Sans Devanagari"/>
      <w:color w:val="0000FF"/>
      <w:spacing w:val="0"/>
      <w:kern w:val="0"/>
      <w:sz w:val="22"/>
      <w:szCs w:val="20"/>
      <w:u w:val="single"/>
      <w:lang w:val="ru-RU" w:eastAsia="zh-CN" w:bidi="hi-IN"/>
    </w:rPr>
  </w:style>
  <w:style w:type="paragraph" w:styleId="Footnote1">
    <w:name w:val="Footnote"/>
    <w:basedOn w:val="Normal"/>
    <w:qFormat/>
    <w:pPr>
      <w:jc w:val="left"/>
    </w:pPr>
    <w:rPr/>
  </w:style>
  <w:style w:type="paragraph" w:styleId="11">
    <w:name w:val="TOC 1"/>
    <w:next w:val="Normal"/>
    <w:uiPriority w:val="39"/>
    <w:pPr>
      <w:widowControl/>
      <w:suppressAutoHyphens w:val="true"/>
      <w:bidi w:val="0"/>
      <w:spacing w:lineRule="auto" w:line="240" w:before="0" w:after="0"/>
      <w:ind w:left="0" w:right="0" w:hanging="0"/>
      <w:jc w:val="left"/>
    </w:pPr>
    <w:rPr>
      <w:rFonts w:ascii="XO Thames" w:hAnsi="XO Thames" w:eastAsia="Tahoma" w:cs="Droid Sans Devanagari"/>
      <w:b/>
      <w:color w:val="000000"/>
      <w:spacing w:val="0"/>
      <w:kern w:val="0"/>
      <w:sz w:val="22"/>
      <w:szCs w:val="20"/>
      <w:lang w:val="ru-RU" w:eastAsia="zh-CN" w:bidi="hi-IN"/>
    </w:rPr>
  </w:style>
  <w:style w:type="paragraph" w:styleId="9">
    <w:name w:val="TOC 9"/>
    <w:next w:val="Normal"/>
    <w:uiPriority w:val="39"/>
    <w:pPr>
      <w:widowControl/>
      <w:suppressAutoHyphens w:val="true"/>
      <w:bidi w:val="0"/>
      <w:spacing w:lineRule="auto" w:line="240" w:before="0" w:after="0"/>
      <w:ind w:left="16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8">
    <w:name w:val="TOC 8"/>
    <w:next w:val="Normal"/>
    <w:uiPriority w:val="39"/>
    <w:pPr>
      <w:widowControl/>
      <w:suppressAutoHyphens w:val="true"/>
      <w:bidi w:val="0"/>
      <w:spacing w:lineRule="auto" w:line="240" w:before="0" w:after="0"/>
      <w:ind w:left="14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Style21">
    <w:name w:val="Header"/>
    <w:basedOn w:val="Normal"/>
    <w:pPr>
      <w:tabs>
        <w:tab w:val="clear" w:pos="720"/>
        <w:tab w:val="center" w:pos="4153" w:leader="none"/>
        <w:tab w:val="right" w:pos="8306" w:leader="none"/>
      </w:tabs>
      <w:jc w:val="left"/>
    </w:pPr>
    <w:rPr/>
  </w:style>
  <w:style w:type="paragraph" w:styleId="51">
    <w:name w:val="TOC 5"/>
    <w:next w:val="Normal"/>
    <w:uiPriority w:val="39"/>
    <w:pPr>
      <w:widowControl/>
      <w:suppressAutoHyphens w:val="true"/>
      <w:bidi w:val="0"/>
      <w:spacing w:lineRule="auto" w:line="240" w:before="0" w:after="0"/>
      <w:ind w:left="8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DefaultParagraphFont1">
    <w:name w:val="Default Paragraph Font"/>
    <w:qFormat/>
    <w:pPr>
      <w:widowControl/>
      <w:suppressAutoHyphens w:val="true"/>
      <w:bidi w:val="0"/>
      <w:spacing w:lineRule="auto" w:line="240" w:before="0" w:after="0"/>
      <w:ind w:left="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Style22">
    <w:name w:val="Subtitle"/>
    <w:next w:val="Normal"/>
    <w:uiPriority w:val="11"/>
    <w:qFormat/>
    <w:pPr>
      <w:widowControl/>
      <w:suppressAutoHyphens w:val="true"/>
      <w:bidi w:val="0"/>
      <w:spacing w:lineRule="auto" w:line="240" w:before="0" w:after="0"/>
      <w:ind w:left="0" w:right="0" w:hanging="0"/>
      <w:jc w:val="left"/>
    </w:pPr>
    <w:rPr>
      <w:rFonts w:ascii="XO Thames" w:hAnsi="XO Thames" w:eastAsia="Tahoma" w:cs="Droid Sans Devanagari"/>
      <w:i/>
      <w:color w:val="616161"/>
      <w:spacing w:val="0"/>
      <w:kern w:val="0"/>
      <w:sz w:val="24"/>
      <w:szCs w:val="20"/>
      <w:lang w:val="ru-RU" w:eastAsia="zh-CN" w:bidi="hi-IN"/>
    </w:rPr>
  </w:style>
  <w:style w:type="paragraph" w:styleId="Toc101">
    <w:name w:val="toc 10"/>
    <w:next w:val="Normal"/>
    <w:uiPriority w:val="39"/>
    <w:qFormat/>
    <w:pPr>
      <w:widowControl/>
      <w:suppressAutoHyphens w:val="true"/>
      <w:bidi w:val="0"/>
      <w:spacing w:lineRule="auto" w:line="240" w:before="0" w:after="0"/>
      <w:ind w:left="1800" w:right="0" w:hanging="0"/>
      <w:jc w:val="left"/>
    </w:pPr>
    <w:rPr>
      <w:rFonts w:ascii="Calibri" w:hAnsi="Calibri" w:eastAsia="Tahoma" w:cs="Droid Sans Devanagari" w:asciiTheme="minorAscii" w:hAnsiTheme="minorHAnsi"/>
      <w:color w:val="000000"/>
      <w:spacing w:val="0"/>
      <w:kern w:val="0"/>
      <w:sz w:val="22"/>
      <w:szCs w:val="20"/>
      <w:lang w:val="ru-RU" w:eastAsia="zh-CN" w:bidi="hi-IN"/>
    </w:rPr>
  </w:style>
  <w:style w:type="paragraph" w:styleId="Style23">
    <w:name w:val="Title"/>
    <w:next w:val="Normal"/>
    <w:uiPriority w:val="10"/>
    <w:qFormat/>
    <w:pPr>
      <w:widowControl/>
      <w:suppressAutoHyphens w:val="true"/>
      <w:bidi w:val="0"/>
      <w:spacing w:lineRule="auto" w:line="240" w:before="0" w:after="0"/>
      <w:ind w:left="0" w:right="0" w:hanging="0"/>
      <w:jc w:val="left"/>
    </w:pPr>
    <w:rPr>
      <w:rFonts w:ascii="XO Thames" w:hAnsi="XO Thames" w:eastAsia="Tahoma" w:cs="Droid Sans Devanagari"/>
      <w:b/>
      <w:color w:val="000000"/>
      <w:spacing w:val="0"/>
      <w:kern w:val="0"/>
      <w:sz w:val="52"/>
      <w:szCs w:val="20"/>
      <w:lang w:val="ru-RU" w:eastAsia="zh-CN" w:bidi="hi-IN"/>
    </w:rPr>
  </w:style>
  <w:style w:type="paragraph" w:styleId="Style24">
    <w:name w:val="Footnote Text"/>
    <w:basedOn w:val="Normal"/>
    <w:pPr/>
    <w:rPr/>
  </w:style>
  <w:style w:type="paragraph" w:styleId="Style25">
    <w:name w:val="Содержимое таблицы"/>
    <w:basedOn w:val="Normal"/>
    <w:qFormat/>
    <w:pPr>
      <w:widowControl w:val="false"/>
      <w:suppressLineNumbers/>
    </w:pPr>
    <w:rPr/>
  </w:style>
  <w:style w:type="paragraph" w:styleId="Style26">
    <w:name w:val="Заголовок таблицы"/>
    <w:basedOn w:val="Style25"/>
    <w:qFormat/>
    <w:pPr>
      <w:suppressLineNumbers/>
      <w:jc w:val="center"/>
    </w:pPr>
    <w:rPr>
      <w:b/>
      <w:bCs/>
    </w:rPr>
  </w:style>
  <w:style w:type="table" w:default="1" w:styleId="Style_2">
    <w:name w:val="Normal Table"/>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notes" Target="footnotes.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xmlns:asvg="http://schemas.microsoft.com/office/drawing/2016/SVG/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183</TotalTime>
  <Application>LibreOffice/7.5.3.2$Linux_X86_64 LibreOffice_project/9f56dff12ba03b9acd7730a5a481eea045e468f3</Application>
  <AppVersion>15.0000</AppVersion>
  <Pages>1</Pages>
  <Words>185</Words>
  <Characters>1697</Characters>
  <CharactersWithSpaces>1939</CharactersWithSpaces>
  <Paragraphs>26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2025-01-10T14:21:44Z</dcterms:modified>
  <cp:revision>25</cp:revision>
  <dc:subject/>
  <dc:title/>
</cp:coreProperties>
</file>

<file path=docProps/custom.xml><?xml version="1.0" encoding="utf-8"?>
<Properties xmlns="http://schemas.openxmlformats.org/officeDocument/2006/custom-properties" xmlns:vt="http://schemas.openxmlformats.org/officeDocument/2006/docPropsVTypes"/>
</file>