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BCDC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19.05.2026)</w:t>
      </w:r>
      <w:r w:rsidRPr="000B4B09">
        <w:rPr>
          <w:rFonts w:hAnsi="Times New Roman"/>
        </w:rPr>
        <w:t xml:space="preserve"> 03-06/2026/2864</w:t>
      </w:r>
      <w:r w:rsidRPr="001A0676">
        <w:rPr>
          <w:rFonts w:hAnsi="Times New Roman"/>
        </w:rPr>
        <w:t>.</w:t>
      </w:r>
    </w:p>
    <w:p w14:paraId="328A2A93" w14:textId="77777777" w:rsidR="00C86B64" w:rsidRDefault="00C86B64">
      <w:pPr>
        <w:rPr>
          <w:rFonts w:hAnsi="Times New Roman"/>
        </w:rPr>
      </w:pPr>
    </w:p>
    <w:p w14:paraId="79901D65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8C49D49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Санкт-Петербург - Приозерск</w:t>
      </w:r>
    </w:p>
    <w:p w14:paraId="19D2BB16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445FEBFF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EED6789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64A9BAB3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150 км.</w:t>
      </w:r>
    </w:p>
    <w:p w14:paraId="5E6C4D40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150 км</w:t>
      </w:r>
    </w:p>
    <w:p w14:paraId="7BDC837D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55AD3A2F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3644F282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0CF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57635AA8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1999C87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3BABF9C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4F9A603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A3A2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751C1298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83C1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5460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16B25F7D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236D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78001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DFBD1" w14:textId="77777777" w:rsidR="00C86B64" w:rsidRDefault="00FC2360">
            <w:pPr>
              <w:pStyle w:val="Style16"/>
              <w:widowControl/>
              <w:jc w:val="center"/>
            </w:pPr>
            <w:r w:rsidRPr="000B4B09">
              <w:rPr>
                <w:rStyle w:val="FontStyle27"/>
                <w:sz w:val="24"/>
                <w:szCs w:val="24"/>
              </w:rPr>
              <w:t xml:space="preserve">АВ г. Санкт-Петербург, г. Санкт-Петербург, наб.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Обводного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канала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36</w:t>
            </w:r>
          </w:p>
        </w:tc>
      </w:tr>
      <w:tr w:rsidR="00C86B64" w14:paraId="6DE5DE33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FAB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47076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093E1" w14:textId="77777777" w:rsidR="00C86B64" w:rsidRDefault="00FC2360">
            <w:pPr>
              <w:pStyle w:val="Style16"/>
              <w:widowControl/>
              <w:jc w:val="center"/>
            </w:pPr>
            <w:r w:rsidRPr="000B4B09">
              <w:rPr>
                <w:rStyle w:val="FontStyle27"/>
                <w:sz w:val="24"/>
                <w:szCs w:val="24"/>
              </w:rPr>
              <w:t xml:space="preserve">ОП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н.п.Приозерск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 xml:space="preserve"> 129км-2, а/д А-121 «Сортавала» Санкт-Петербург- Сортавала-а/д Р-21»Кола» 129км+809м (справа) 129км+757м (слева)</w:t>
            </w:r>
          </w:p>
        </w:tc>
      </w:tr>
      <w:tr w:rsidR="00C86B64" w14:paraId="6EF22EDB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A44F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47111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463B7" w14:textId="77777777" w:rsidR="00C86B64" w:rsidRDefault="00FC2360">
            <w:pPr>
              <w:pStyle w:val="Style16"/>
              <w:widowControl/>
              <w:jc w:val="center"/>
            </w:pPr>
            <w:r w:rsidRPr="000B4B09">
              <w:rPr>
                <w:rStyle w:val="FontStyle27"/>
                <w:sz w:val="24"/>
                <w:szCs w:val="24"/>
              </w:rPr>
              <w:t xml:space="preserve">ОП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н.п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>. Приозерск 130км-1, а/д А-121 «Сортавала» Санкт-Петербург- Сортавала-а/д Р-21»Кола» 130км+090м (справа) 130км+209м (слева)</w:t>
            </w:r>
          </w:p>
        </w:tc>
      </w:tr>
    </w:tbl>
    <w:p w14:paraId="5BFC7D6B" w14:textId="77777777" w:rsidR="00C86B64" w:rsidRDefault="00C86B64">
      <w:pPr>
        <w:pStyle w:val="Style13"/>
        <w:widowControl/>
        <w:rPr>
          <w:rStyle w:val="FontStyle27"/>
        </w:rPr>
      </w:pPr>
    </w:p>
    <w:p w14:paraId="00646770" w14:textId="77777777" w:rsidR="00C86B64" w:rsidRDefault="00C86B64">
      <w:pPr>
        <w:pStyle w:val="Style13"/>
        <w:widowControl/>
        <w:rPr>
          <w:rStyle w:val="FontStyle27"/>
        </w:rPr>
      </w:pPr>
    </w:p>
    <w:p w14:paraId="26E0E6F1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1D086852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4BD101BB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DF9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450B85F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FD2E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A2D1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7E9E7A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C414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C1D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43C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424ECB0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8107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D4E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B4B09">
              <w:rPr>
                <w:rStyle w:val="FontStyle27"/>
                <w:sz w:val="24"/>
                <w:szCs w:val="24"/>
              </w:rPr>
              <w:t xml:space="preserve">2 ч 12 мин Прибытие в 17:16 159 км Железнодорожный переезд Автовокзал Санкт-Петербург 15:04 прямо 11 м направо 2,53 км, набережная Обводного канала правее 1,44 км, проспект Обуховской Обороны съезд направо 3,8 км,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Малоохтинский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 xml:space="preserve"> проспект направо 220 м, Пискарёвский проспект левее 4,6 км правее 2,81 км съезд направо 10 км, КАД съезд направо 126 км,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Новоприозерское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 xml:space="preserve"> шоссе направо 2,31 км, Сортавальское шоссе направо 810 м, А-121 правее 1,89 км налево 270 м, А-121 налево 1,16 км А-121 Сортавала, 130-й километр 17:15 прямо 1,02 км, А-121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А-121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 xml:space="preserve"> Сортавала, 129-й километр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0E0D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63CFE8D1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3A237DE1" w14:textId="77777777" w:rsidR="00C86B64" w:rsidRDefault="00C86B64">
      <w:pPr>
        <w:pStyle w:val="Style18"/>
        <w:widowControl/>
        <w:rPr>
          <w:rStyle w:val="FontStyle28"/>
        </w:rPr>
      </w:pPr>
    </w:p>
    <w:p w14:paraId="7EA1066A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lastRenderedPageBreak/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6790358C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FFD0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0319E9C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B4088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770D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E37938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31CE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8394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A72E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586A74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CE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96D0" w14:textId="77777777" w:rsidR="00C86B64" w:rsidRPr="000B4B09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B4B09">
              <w:rPr>
                <w:rStyle w:val="FontStyle27"/>
                <w:sz w:val="24"/>
                <w:szCs w:val="24"/>
              </w:rPr>
              <w:t xml:space="preserve">2 ч 22 мин Прибытие в 17:27 167 км Железнодорожный переезд А-121 Сортавала, 129-й километр 15:05 прямо 1,02 км, А-121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А-121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 xml:space="preserve"> Сортавала, 130-й километр 15:06 прямо 1,14 км, А-121 направо 277 м, А-121 направо 5 км налево 7,6 км, Сортавальское шоссе левее 118 км, А-121 съезд направо 21 км, КАД съезд направо 9,3 км направо 242 м, Амбарная улица направо 830 м, </w:t>
            </w:r>
            <w:proofErr w:type="spellStart"/>
            <w:r w:rsidRPr="000B4B09">
              <w:rPr>
                <w:rStyle w:val="FontStyle27"/>
                <w:sz w:val="24"/>
                <w:szCs w:val="24"/>
              </w:rPr>
              <w:t>Синопская</w:t>
            </w:r>
            <w:proofErr w:type="spellEnd"/>
            <w:r w:rsidRPr="000B4B09">
              <w:rPr>
                <w:rStyle w:val="FontStyle27"/>
                <w:sz w:val="24"/>
                <w:szCs w:val="24"/>
              </w:rPr>
              <w:t xml:space="preserve"> набережная направо 2,47 км, набережная Обводного канала налево 83 м, улица Черняховского налево 119 м, набережная Обводного канала направо 31 м Автовокзал Санкт-Петербург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56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0707EECC" w14:textId="77777777" w:rsidR="00C86B64" w:rsidRDefault="00C86B64">
      <w:pPr>
        <w:pStyle w:val="Style8"/>
        <w:widowControl/>
        <w:rPr>
          <w:rFonts w:hAnsi="Times New Roman"/>
        </w:rPr>
      </w:pPr>
    </w:p>
    <w:p w14:paraId="5660BA16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57CFBDC0" w14:textId="77777777" w:rsidR="00FC2360" w:rsidRDefault="00FC2360">
      <w:pPr>
        <w:pStyle w:val="Style8"/>
        <w:widowControl/>
        <w:rPr>
          <w:rFonts w:hAnsi="Times New Roman"/>
        </w:rPr>
      </w:pPr>
    </w:p>
    <w:p w14:paraId="57AF4DD5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2A21DAC8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B49D179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9F5FAC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4CA28CD1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16A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CFC22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5C57AA01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5A598DD1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2EC24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A17D8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1693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D980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F125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230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52E40677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277B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C42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051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96B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8471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B4DC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4A1F8A2D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8D308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49E8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2FCA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3A1C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1.75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24CF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ED14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</w:tbl>
    <w:p w14:paraId="3704C414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4CE3040A" w14:textId="77777777" w:rsidR="00C86B64" w:rsidRDefault="00C86B64">
      <w:pPr>
        <w:pStyle w:val="Style18"/>
        <w:widowControl/>
        <w:rPr>
          <w:rStyle w:val="FontStyle28"/>
        </w:rPr>
      </w:pPr>
    </w:p>
    <w:p w14:paraId="3C1EC621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03A3B94F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14AE11A5" w14:textId="77777777" w:rsidTr="000B4B09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08AC9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56D213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54334B52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4EDD6D3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1FB2D9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2B5F2CD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7D491D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78F73A2A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59D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4FD3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1602BC50" w14:textId="77777777" w:rsidTr="000B4B09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79F0F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E048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E906F1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603445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175C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3F11C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13D1E67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768395C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311614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D88B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D422CC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0EBC511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EC84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FD7049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36D908A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3F2DAD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CE332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2A54E0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15258D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20B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5587CD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EBA85A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44A5EB9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C4C32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C79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51F75F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02FD1C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D81A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9A3A62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062935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75ECBC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25FB0ED2" w14:textId="77777777" w:rsidTr="000B4B09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F070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79B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29FE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DEDB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4415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AAC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9210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61E8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E186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42518651" w14:textId="77777777" w:rsidTr="000B4B09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45B3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78001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D21E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A8698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295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E52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1751A3A7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FE8E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6B85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AB3F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6630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7F565DD8" w14:textId="77777777" w:rsidTr="000B4B09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AA0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47076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13D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D12E7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13:01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AE6E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A2F7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13:02</w:t>
            </w:r>
          </w:p>
          <w:p w14:paraId="196B1357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1ABC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89DF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17D1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91CE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7222C18E" w14:textId="77777777" w:rsidR="00C86B64" w:rsidRDefault="00C86B64">
      <w:pPr>
        <w:pStyle w:val="Style18"/>
        <w:widowControl/>
        <w:rPr>
          <w:rStyle w:val="FontStyle28"/>
        </w:rPr>
      </w:pPr>
    </w:p>
    <w:p w14:paraId="3A686B75" w14:textId="77777777" w:rsidR="00C86B64" w:rsidRDefault="00C86B64">
      <w:pPr>
        <w:pStyle w:val="Style18"/>
        <w:widowControl/>
        <w:rPr>
          <w:rStyle w:val="FontStyle28"/>
        </w:rPr>
      </w:pPr>
    </w:p>
    <w:p w14:paraId="52EF3F8B" w14:textId="77777777" w:rsidR="00C86B64" w:rsidRDefault="00FC2360">
      <w:pPr>
        <w:pStyle w:val="a6"/>
        <w:keepNext/>
      </w:pPr>
      <w:r>
        <w:rPr>
          <w:i w:val="0"/>
          <w:iCs w:val="0"/>
        </w:rPr>
        <w:lastRenderedPageBreak/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143DAD75" w14:textId="77777777" w:rsidTr="000B4B09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65A1B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38FAE59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0C46BD75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10DEDEB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5111CD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330DE62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37427B7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0C8791A0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513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B47C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132F9D96" w14:textId="77777777" w:rsidTr="000B4B09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42744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32A4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40ABA9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0AA42A6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BE0E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7EFC0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63C566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27029BA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2A1A245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1132B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0679323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72890AE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50BD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B54777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327734A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222C5F5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135B7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1586630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5F92E50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216A232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44E0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EC398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00ACF54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064A74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715F103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EF48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5DF8672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1D9A9AF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7AE0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261B1FA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799A017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2437FE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2EB63FF4" w14:textId="77777777" w:rsidTr="000B4B09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D411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6A84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3A4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59D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D89F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340F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3B5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068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0C51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0441B460" w14:textId="77777777" w:rsidTr="000B4B09">
        <w:trPr>
          <w:cantSplit/>
          <w:trHeight w:val="51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02E6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47111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4F0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88D2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D2DA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2EB0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6F206DA5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B52F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BC47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C320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78CC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258AECDC" w14:textId="77777777" w:rsidTr="000B4B09">
        <w:trPr>
          <w:cantSplit/>
          <w:trHeight w:val="51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16BD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47076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1F97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BD0C0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14:01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4280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329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14:02</w:t>
            </w:r>
          </w:p>
          <w:p w14:paraId="58319E79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97D1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FF1B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8823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9A56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475A7BB" w14:textId="77777777" w:rsidR="00C86B64" w:rsidRDefault="00C86B64">
      <w:pPr>
        <w:pStyle w:val="Style21"/>
        <w:widowControl/>
        <w:rPr>
          <w:rStyle w:val="FontStyle28"/>
        </w:rPr>
      </w:pPr>
    </w:p>
    <w:p w14:paraId="40B0A1B3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B4B09"/>
    <w:rsid w:val="001A0676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42E1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Корнилова Галина Валерьевна</cp:lastModifiedBy>
  <cp:revision>34</cp:revision>
  <dcterms:created xsi:type="dcterms:W3CDTF">2018-12-17T07:37:00Z</dcterms:created>
  <dcterms:modified xsi:type="dcterms:W3CDTF">2026-05-19T13:20:00Z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