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83" w:rsidRPr="00461E83" w:rsidRDefault="0001597B" w:rsidP="00461E83">
      <w:pPr>
        <w:keepNext/>
        <w:keepLines/>
        <w:spacing w:before="160" w:after="80" w:line="240" w:lineRule="auto"/>
        <w:jc w:val="right"/>
        <w:outlineLvl w:val="2"/>
        <w:rPr>
          <w:rFonts w:eastAsia="DengXian Light" w:cs="Times New Roman"/>
          <w:sz w:val="24"/>
          <w:szCs w:val="24"/>
        </w:rPr>
      </w:pPr>
      <w:bookmarkStart w:id="0" w:name="_Toc182453064"/>
      <w:r>
        <w:rPr>
          <w:rFonts w:eastAsia="DengXian Light" w:cs="Times New Roman"/>
          <w:sz w:val="24"/>
          <w:szCs w:val="24"/>
        </w:rPr>
        <w:t>ПРИЛОЖЕНИЕ № 1 к п</w:t>
      </w:r>
      <w:r w:rsidR="00461E83" w:rsidRPr="00461E83">
        <w:rPr>
          <w:rFonts w:eastAsia="DengXian Light" w:cs="Times New Roman"/>
          <w:sz w:val="24"/>
          <w:szCs w:val="24"/>
        </w:rPr>
        <w:t>ояснительной записке</w:t>
      </w:r>
      <w:bookmarkEnd w:id="0"/>
    </w:p>
    <w:p w:rsidR="00461E83" w:rsidRPr="00461E83" w:rsidRDefault="00461E83" w:rsidP="00461E83">
      <w:pPr>
        <w:tabs>
          <w:tab w:val="left" w:pos="833"/>
          <w:tab w:val="left" w:pos="1944"/>
          <w:tab w:val="left" w:pos="9303"/>
          <w:tab w:val="left" w:pos="12178"/>
        </w:tabs>
        <w:spacing w:line="240" w:lineRule="auto"/>
        <w:jc w:val="center"/>
        <w:rPr>
          <w:rFonts w:eastAsia="Times New Roman" w:cs="Times New Roman"/>
          <w:sz w:val="24"/>
          <w:szCs w:val="24"/>
        </w:rPr>
      </w:pPr>
    </w:p>
    <w:p w:rsidR="00461E83" w:rsidRPr="00461E83" w:rsidRDefault="00461E83" w:rsidP="00461E83">
      <w:pPr>
        <w:tabs>
          <w:tab w:val="left" w:pos="833"/>
          <w:tab w:val="left" w:pos="1944"/>
          <w:tab w:val="left" w:pos="9303"/>
          <w:tab w:val="left" w:pos="12178"/>
        </w:tabs>
        <w:spacing w:line="240" w:lineRule="auto"/>
        <w:jc w:val="center"/>
        <w:rPr>
          <w:rFonts w:eastAsia="Aptos" w:cs="Times New Roman"/>
          <w:b/>
          <w:bCs/>
          <w:sz w:val="24"/>
          <w:szCs w:val="24"/>
        </w:rPr>
      </w:pPr>
      <w:r w:rsidRPr="00461E83">
        <w:rPr>
          <w:rFonts w:eastAsia="Times New Roman" w:cs="Times New Roman"/>
          <w:b/>
          <w:bCs/>
          <w:sz w:val="24"/>
          <w:szCs w:val="24"/>
        </w:rPr>
        <w:t xml:space="preserve">Перечень налоговых расходов Российской Федерации, </w:t>
      </w:r>
      <w:r w:rsidRPr="00461E83">
        <w:rPr>
          <w:rFonts w:eastAsia="Aptos" w:cs="Times New Roman"/>
          <w:b/>
          <w:bCs/>
          <w:sz w:val="24"/>
          <w:szCs w:val="24"/>
        </w:rPr>
        <w:t>куратором которых установлен Минтранс России</w:t>
      </w:r>
    </w:p>
    <w:p w:rsidR="00461E83" w:rsidRPr="00461E83" w:rsidRDefault="00461E83" w:rsidP="00461E83">
      <w:pPr>
        <w:tabs>
          <w:tab w:val="left" w:pos="833"/>
          <w:tab w:val="left" w:pos="1944"/>
          <w:tab w:val="left" w:pos="9303"/>
          <w:tab w:val="left" w:pos="12178"/>
        </w:tabs>
        <w:spacing w:line="240" w:lineRule="auto"/>
        <w:jc w:val="center"/>
        <w:rPr>
          <w:rFonts w:eastAsia="Aptos" w:cs="Times New Roman"/>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02"/>
        <w:gridCol w:w="2418"/>
        <w:gridCol w:w="6261"/>
        <w:gridCol w:w="2835"/>
        <w:gridCol w:w="1701"/>
      </w:tblGrid>
      <w:tr w:rsidR="00461E83" w:rsidRPr="00461E83" w:rsidTr="00BB52B8">
        <w:trPr>
          <w:trHeight w:val="1294"/>
          <w:tblHeader/>
        </w:trPr>
        <w:tc>
          <w:tcPr>
            <w:tcW w:w="562" w:type="dxa"/>
            <w:shd w:val="clear" w:color="auto" w:fill="auto"/>
            <w:vAlign w:val="center"/>
          </w:tcPr>
          <w:p w:rsidR="00461E83" w:rsidRPr="00461E83" w:rsidRDefault="00461E83" w:rsidP="00461E83">
            <w:pPr>
              <w:spacing w:line="240" w:lineRule="auto"/>
              <w:jc w:val="center"/>
              <w:rPr>
                <w:rFonts w:eastAsia="Times New Roman" w:cs="Times New Roman"/>
                <w:b/>
                <w:bCs/>
                <w:sz w:val="18"/>
                <w:szCs w:val="18"/>
                <w:lang w:eastAsia="ru-RU"/>
              </w:rPr>
            </w:pPr>
            <w:r w:rsidRPr="00461E83">
              <w:rPr>
                <w:rFonts w:eastAsia="Times New Roman" w:cs="Times New Roman"/>
                <w:b/>
                <w:bCs/>
                <w:sz w:val="18"/>
                <w:szCs w:val="18"/>
                <w:lang w:eastAsia="ru-RU"/>
              </w:rPr>
              <w:t>№</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b/>
                <w:bCs/>
                <w:sz w:val="18"/>
                <w:szCs w:val="18"/>
                <w:lang w:eastAsia="ru-RU"/>
              </w:rPr>
            </w:pPr>
            <w:r w:rsidRPr="00461E83">
              <w:rPr>
                <w:rFonts w:eastAsia="Times New Roman" w:cs="Times New Roman"/>
                <w:b/>
                <w:bCs/>
                <w:sz w:val="18"/>
                <w:szCs w:val="18"/>
                <w:lang w:eastAsia="ru-RU"/>
              </w:rPr>
              <w:t>Код льготы</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b/>
                <w:bCs/>
                <w:sz w:val="18"/>
                <w:szCs w:val="18"/>
                <w:lang w:eastAsia="ru-RU"/>
              </w:rPr>
            </w:pPr>
            <w:r w:rsidRPr="00461E83">
              <w:rPr>
                <w:rFonts w:eastAsia="Times New Roman" w:cs="Times New Roman"/>
                <w:b/>
                <w:bCs/>
                <w:sz w:val="18"/>
                <w:szCs w:val="18"/>
                <w:lang w:eastAsia="ru-RU"/>
              </w:rPr>
              <w:t>Краткое наименование налогового расхода Российской Федерации</w:t>
            </w:r>
          </w:p>
        </w:tc>
        <w:tc>
          <w:tcPr>
            <w:tcW w:w="6261" w:type="dxa"/>
            <w:vAlign w:val="center"/>
          </w:tcPr>
          <w:p w:rsidR="00461E83" w:rsidRPr="00461E83" w:rsidRDefault="00461E83" w:rsidP="00461E83">
            <w:pPr>
              <w:spacing w:line="240" w:lineRule="auto"/>
              <w:jc w:val="center"/>
              <w:rPr>
                <w:rFonts w:eastAsia="Times New Roman" w:cs="Times New Roman"/>
                <w:b/>
                <w:bCs/>
                <w:sz w:val="18"/>
                <w:szCs w:val="18"/>
                <w:lang w:eastAsia="ru-RU"/>
              </w:rPr>
            </w:pPr>
            <w:r w:rsidRPr="00461E83">
              <w:rPr>
                <w:rFonts w:eastAsia="Times New Roman" w:cs="Times New Roman"/>
                <w:b/>
                <w:bCs/>
                <w:sz w:val="18"/>
                <w:szCs w:val="18"/>
                <w:lang w:eastAsia="ru-RU"/>
              </w:rPr>
              <w:t>Полное наименование налогового расхода Российской Федерации</w:t>
            </w:r>
          </w:p>
        </w:tc>
        <w:tc>
          <w:tcPr>
            <w:tcW w:w="2835" w:type="dxa"/>
            <w:shd w:val="clear" w:color="auto" w:fill="auto"/>
            <w:vAlign w:val="center"/>
          </w:tcPr>
          <w:p w:rsidR="00461E83" w:rsidRPr="00461E83" w:rsidRDefault="00461E83" w:rsidP="00461E83">
            <w:pPr>
              <w:spacing w:line="240" w:lineRule="auto"/>
              <w:jc w:val="center"/>
              <w:rPr>
                <w:rFonts w:eastAsia="Times New Roman" w:cs="Times New Roman"/>
                <w:b/>
                <w:bCs/>
                <w:sz w:val="18"/>
                <w:szCs w:val="18"/>
                <w:lang w:eastAsia="ru-RU"/>
              </w:rPr>
            </w:pPr>
            <w:r w:rsidRPr="00461E83">
              <w:rPr>
                <w:rFonts w:eastAsia="Times New Roman" w:cs="Times New Roman"/>
                <w:b/>
                <w:bCs/>
                <w:sz w:val="18"/>
                <w:szCs w:val="18"/>
                <w:lang w:eastAsia="ru-RU"/>
              </w:rPr>
              <w:t>Реквизиты законодательного акта (нормативного правового акта) Российской Федерации, международного соглашения (договора), устанавливающего налоговый расход</w:t>
            </w:r>
          </w:p>
        </w:tc>
        <w:tc>
          <w:tcPr>
            <w:tcW w:w="1701" w:type="dxa"/>
            <w:shd w:val="clear" w:color="auto" w:fill="auto"/>
            <w:vAlign w:val="center"/>
          </w:tcPr>
          <w:p w:rsidR="00461E83" w:rsidRPr="00461E83" w:rsidRDefault="00461E83" w:rsidP="00461E83">
            <w:pPr>
              <w:spacing w:line="240" w:lineRule="auto"/>
              <w:jc w:val="center"/>
              <w:rPr>
                <w:rFonts w:eastAsia="Times New Roman" w:cs="Times New Roman"/>
                <w:b/>
                <w:bCs/>
                <w:sz w:val="18"/>
                <w:szCs w:val="18"/>
                <w:lang w:eastAsia="ru-RU"/>
              </w:rPr>
            </w:pPr>
            <w:r w:rsidRPr="00461E83">
              <w:rPr>
                <w:rFonts w:eastAsia="Times New Roman" w:cs="Times New Roman"/>
                <w:b/>
                <w:bCs/>
                <w:sz w:val="18"/>
                <w:szCs w:val="18"/>
                <w:lang w:eastAsia="ru-RU"/>
              </w:rPr>
              <w:t>Целевая категория</w:t>
            </w:r>
          </w:p>
        </w:tc>
      </w:tr>
      <w:tr w:rsidR="00461E83" w:rsidRPr="00461E83" w:rsidTr="00BB52B8">
        <w:trPr>
          <w:trHeight w:val="1128"/>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1</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НДС.0050</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Освобождение от уплаты НДС реализации услуг по перевозке пассажиров в общественном транспорте</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услуг по перевозке пассажиров: городским пассажирским транспортом общего пользования (за исключением такси, в том числе маршрутного).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 установленным органами местного самоуправления, в том числе с предоставлением всех льгот на проезд, утвержденных в установленном порядке; 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 xml:space="preserve">Налоговый кодекс Российской Федерации (в ред. от 05.08.2000 № 117-ФЗ) </w:t>
            </w:r>
            <w:r w:rsidRPr="00576127">
              <w:rPr>
                <w:rFonts w:eastAsia="Times New Roman" w:cs="Times New Roman"/>
                <w:sz w:val="18"/>
                <w:szCs w:val="18"/>
                <w:lang w:eastAsia="ru-RU"/>
              </w:rPr>
              <w:br/>
              <w:t>ст.149/п.2/пп.7</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461E83" w:rsidTr="00BB52B8">
        <w:trPr>
          <w:trHeight w:val="1428"/>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2</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НДС.0051</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Освобождение от уплаты НДС реализации работ, связанных с осуществлением регулярных перевозок пассажиров и багажа автомобильным транспортом</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основании государственного или муниципального контракта</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 xml:space="preserve">Налоговый кодекс Российской Федерации (в ред. от 30.10.2018 № 392-ФЗ) </w:t>
            </w:r>
            <w:r w:rsidRPr="00576127">
              <w:rPr>
                <w:rFonts w:eastAsia="Times New Roman" w:cs="Times New Roman"/>
                <w:sz w:val="18"/>
                <w:szCs w:val="18"/>
                <w:lang w:eastAsia="ru-RU"/>
              </w:rPr>
              <w:br/>
              <w:t>ст.149/п.2/пп.7.1</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461E83" w:rsidTr="00BB52B8">
        <w:trPr>
          <w:trHeight w:val="538"/>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3</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НДС.0023</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Не признаются объектом налогообложения: оказание услуг по предоставлению права проезда транспортных средств по платным автомобильным дорогам общего пользования федерального значения (платным участкам таких автомобильных дорог), осуществляемых в соответствии с договором доверительного управления автомобильными дорогами, учредителем которого является Российская Федерация, за исключением услуг, плата за оказание которых остается в распоряжении концессионера в соответствии с концессионным соглашением</w:t>
            </w:r>
          </w:p>
        </w:tc>
        <w:tc>
          <w:tcPr>
            <w:tcW w:w="2835" w:type="dxa"/>
            <w:shd w:val="clear" w:color="auto" w:fill="auto"/>
            <w:vAlign w:val="center"/>
          </w:tcPr>
          <w:p w:rsidR="00461E83" w:rsidRPr="00576127" w:rsidRDefault="00461E83" w:rsidP="000A4CA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 xml:space="preserve">Налоговый кодекс Российской Федерации (в ред. от 28.11.2011 </w:t>
            </w:r>
            <w:r w:rsidR="000A4CA3">
              <w:rPr>
                <w:rFonts w:eastAsia="Times New Roman" w:cs="Times New Roman"/>
                <w:sz w:val="18"/>
                <w:szCs w:val="18"/>
                <w:lang w:eastAsia="ru-RU"/>
              </w:rPr>
              <w:t>№</w:t>
            </w:r>
            <w:r w:rsidRPr="00576127">
              <w:rPr>
                <w:rFonts w:eastAsia="Times New Roman" w:cs="Times New Roman"/>
                <w:sz w:val="18"/>
                <w:szCs w:val="18"/>
                <w:lang w:eastAsia="ru-RU"/>
              </w:rPr>
              <w:t xml:space="preserve"> 338-</w:t>
            </w:r>
            <w:proofErr w:type="gramStart"/>
            <w:r w:rsidRPr="00576127">
              <w:rPr>
                <w:rFonts w:eastAsia="Times New Roman" w:cs="Times New Roman"/>
                <w:sz w:val="18"/>
                <w:szCs w:val="18"/>
                <w:lang w:eastAsia="ru-RU"/>
              </w:rPr>
              <w:t>ФЗ)</w:t>
            </w:r>
            <w:r w:rsidRPr="00576127">
              <w:rPr>
                <w:rFonts w:eastAsia="Times New Roman" w:cs="Times New Roman"/>
                <w:sz w:val="18"/>
                <w:szCs w:val="18"/>
                <w:lang w:eastAsia="ru-RU"/>
              </w:rPr>
              <w:br/>
              <w:t>ст.</w:t>
            </w:r>
            <w:proofErr w:type="gramEnd"/>
            <w:r w:rsidRPr="00576127">
              <w:rPr>
                <w:rFonts w:eastAsia="Times New Roman" w:cs="Times New Roman"/>
                <w:sz w:val="18"/>
                <w:szCs w:val="18"/>
                <w:lang w:eastAsia="ru-RU"/>
              </w:rPr>
              <w:t>146/п.2/пп.4.2</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Техническая</w:t>
            </w:r>
          </w:p>
        </w:tc>
      </w:tr>
      <w:tr w:rsidR="00461E83" w:rsidRPr="00576127" w:rsidTr="00BB52B8">
        <w:trPr>
          <w:trHeight w:val="1200"/>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lastRenderedPageBreak/>
              <w:t>4</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НДС.0164</w:t>
            </w:r>
          </w:p>
        </w:tc>
        <w:tc>
          <w:tcPr>
            <w:tcW w:w="2418" w:type="dxa"/>
            <w:shd w:val="clear" w:color="auto" w:fill="auto"/>
            <w:vAlign w:val="center"/>
          </w:tcPr>
          <w:p w:rsidR="00461E83" w:rsidRPr="00576127" w:rsidRDefault="00461E83" w:rsidP="000A4CA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Пониженная ставка НДС на услуги по внутренним воздушным перевозкам пассажиров и багажа в (из) Республику Крым</w:t>
            </w:r>
            <w:r w:rsidR="000A4CA3">
              <w:rPr>
                <w:rFonts w:eastAsia="Times New Roman" w:cs="Times New Roman"/>
                <w:sz w:val="18"/>
                <w:szCs w:val="18"/>
                <w:lang w:eastAsia="ru-RU"/>
              </w:rPr>
              <w:br/>
            </w:r>
            <w:r w:rsidRPr="00576127">
              <w:rPr>
                <w:rFonts w:eastAsia="Times New Roman" w:cs="Times New Roman"/>
                <w:sz w:val="18"/>
                <w:szCs w:val="18"/>
                <w:lang w:eastAsia="ru-RU"/>
              </w:rPr>
              <w:t>и г. Севастополь</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Налогообложение производится по налоговой ставке 0 процентов при реализации: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Налоговый кодекс Российской Федерации (в ред. от 04.06.2014 № 151-ФЗ)</w:t>
            </w:r>
            <w:r w:rsidRPr="00576127">
              <w:rPr>
                <w:rFonts w:eastAsia="Times New Roman" w:cs="Times New Roman"/>
                <w:sz w:val="18"/>
                <w:szCs w:val="18"/>
                <w:lang w:eastAsia="ru-RU"/>
              </w:rPr>
              <w:br/>
              <w:t xml:space="preserve"> ст.164/п.1/пп.4.1</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576127" w:rsidTr="00BB52B8">
        <w:trPr>
          <w:trHeight w:val="1440"/>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5</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НДС.0165</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Пониженная ставка НДС на услуги по внутренним воздушным перевозкам пассажиров и багажа в (из) Калининградской области / Дальневосточного федерального округа</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Налогообложение производится по налоговой ставке 0 процентов при реализации: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Калининградской области, или при условии, что пункт отправления и (или) пункт назначения пассажиров и багажа расположены на территории Дальневосточного федерального округа</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Налоговый кодекс Российской Федерации (в ред. от 27.11.2017 № 353-ФЗ)</w:t>
            </w:r>
            <w:r w:rsidRPr="00576127">
              <w:rPr>
                <w:rFonts w:eastAsia="Times New Roman" w:cs="Times New Roman"/>
                <w:sz w:val="18"/>
                <w:szCs w:val="18"/>
                <w:lang w:eastAsia="ru-RU"/>
              </w:rPr>
              <w:br/>
              <w:t xml:space="preserve"> ст.164/п.1/пп.4.2</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576127" w:rsidTr="00BB52B8">
        <w:trPr>
          <w:trHeight w:val="960"/>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6</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НДС.0189</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Пониженная ставка НДС на услуги по внутренним воздушным перевозкам пассажиров и багажа</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Налогообложение производится по налоговой ставке 10 процентов при реализации: услуг по внутренним воздушным перевозкам пассажиров и багажа (за исключением услуг, указанных в подпунктах 4.1, 4.2 и 4.3 пункта 1 статьи 164 НК РФ)</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Налоговый кодекс Российской Федерации (в ред. от 06.04.2015 № 83-</w:t>
            </w:r>
            <w:proofErr w:type="gramStart"/>
            <w:r w:rsidRPr="00576127">
              <w:rPr>
                <w:rFonts w:eastAsia="Times New Roman" w:cs="Times New Roman"/>
                <w:sz w:val="18"/>
                <w:szCs w:val="18"/>
                <w:lang w:eastAsia="ru-RU"/>
              </w:rPr>
              <w:t>ФЗ)</w:t>
            </w:r>
            <w:r w:rsidRPr="00576127">
              <w:rPr>
                <w:rFonts w:eastAsia="Times New Roman" w:cs="Times New Roman"/>
                <w:sz w:val="18"/>
                <w:szCs w:val="18"/>
                <w:lang w:eastAsia="ru-RU"/>
              </w:rPr>
              <w:br/>
              <w:t>ст.</w:t>
            </w:r>
            <w:proofErr w:type="gramEnd"/>
            <w:r w:rsidRPr="00576127">
              <w:rPr>
                <w:rFonts w:eastAsia="Times New Roman" w:cs="Times New Roman"/>
                <w:sz w:val="18"/>
                <w:szCs w:val="18"/>
                <w:lang w:eastAsia="ru-RU"/>
              </w:rPr>
              <w:t>164/п.2/пп.6</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576127" w:rsidTr="00BB52B8">
        <w:trPr>
          <w:trHeight w:val="960"/>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7</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НДС.0172</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Пониженная ставка НДС на услуги по перевозке пассажиров железнодорожным транспортом в пригородном сообщении</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Налогообложение производится по налоговой ставке 0 процентов при реализации: услуг по перевозке пассажиров железнодорожным транспортом в пригородном сообщении</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 xml:space="preserve">Налоговый кодекс Российской Федерации (в ред. от 06.04.2015 № 83-ФЗ) </w:t>
            </w:r>
            <w:r w:rsidRPr="00576127">
              <w:rPr>
                <w:rFonts w:eastAsia="Times New Roman" w:cs="Times New Roman"/>
                <w:sz w:val="18"/>
                <w:szCs w:val="18"/>
                <w:lang w:eastAsia="ru-RU"/>
              </w:rPr>
              <w:br/>
              <w:t>ст.164/п.1/пп.9.2</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576127" w:rsidTr="00BB52B8">
        <w:trPr>
          <w:trHeight w:val="1200"/>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8</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НДС.0173</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Пониженная ставка НДС на услуги по перевозке пассажиров железнодорожным транспортом общего пользования в дальнем сообщении</w:t>
            </w:r>
          </w:p>
        </w:tc>
        <w:tc>
          <w:tcPr>
            <w:tcW w:w="6261" w:type="dxa"/>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Aptos" w:cs="Times New Roman"/>
                <w:sz w:val="18"/>
                <w:szCs w:val="18"/>
              </w:rPr>
              <w:t>Налогообложение производится по налоговой ставке 0 процентов при реализации: услуг по перевозке пассажиров и багажа железнодорожным транспортом общего пользования в дальнем сообщении (за исключением услуг, указанных в подпункте 4 пункта 1 статьи 164 НК РФ)</w:t>
            </w:r>
          </w:p>
        </w:tc>
        <w:tc>
          <w:tcPr>
            <w:tcW w:w="2835"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 xml:space="preserve">Налоговый кодекс Российской Федерации (в ред. от 30.11.2016 № 401-ФЗ) </w:t>
            </w:r>
            <w:r w:rsidRPr="00576127">
              <w:rPr>
                <w:rFonts w:eastAsia="Times New Roman" w:cs="Times New Roman"/>
                <w:sz w:val="18"/>
                <w:szCs w:val="18"/>
                <w:lang w:eastAsia="ru-RU"/>
              </w:rPr>
              <w:br/>
              <w:t>ст.164/п.1/пп.9.3</w:t>
            </w:r>
          </w:p>
        </w:tc>
        <w:tc>
          <w:tcPr>
            <w:tcW w:w="1701"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Социальная</w:t>
            </w:r>
          </w:p>
        </w:tc>
      </w:tr>
      <w:tr w:rsidR="00461E83" w:rsidRPr="00461E83" w:rsidTr="00BB52B8">
        <w:trPr>
          <w:trHeight w:val="120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9</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НИО.0054</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Пониженная сумма налогообложения по налогу на имущество организаций в отношении железнодорожных путей общего пользования</w:t>
            </w:r>
          </w:p>
        </w:tc>
        <w:tc>
          <w:tcPr>
            <w:tcW w:w="6261" w:type="dxa"/>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Aptos" w:cs="Times New Roman"/>
                <w:sz w:val="18"/>
                <w:szCs w:val="18"/>
              </w:rPr>
              <w:t xml:space="preserve">Особенности исчисления налога на имущество организаций в отношении железнодорожных путей общего пользования и сооружений, являющихся их неотъемлемой технологической частью: Начиная с 1 января 2017 г. сумма налога исчисляется с применением коэффициента в течение шести налоговых периодов начиная с 1-го числа налогового периода, в котором соответствующее имущество было впервые принято на учет в качестве объекта основных средств, коэффициент </w:t>
            </w:r>
            <w:proofErr w:type="spellStart"/>
            <w:r w:rsidRPr="00461E83">
              <w:rPr>
                <w:rFonts w:eastAsia="Aptos" w:cs="Times New Roman"/>
                <w:sz w:val="18"/>
                <w:szCs w:val="18"/>
              </w:rPr>
              <w:t>Кжд</w:t>
            </w:r>
            <w:proofErr w:type="spellEnd"/>
            <w:r w:rsidRPr="00461E83">
              <w:rPr>
                <w:rFonts w:eastAsia="Aptos" w:cs="Times New Roman"/>
                <w:sz w:val="18"/>
                <w:szCs w:val="18"/>
              </w:rPr>
              <w:t xml:space="preserve"> принимается равным:</w:t>
            </w:r>
            <w:r w:rsidRPr="00461E83">
              <w:rPr>
                <w:rFonts w:eastAsia="Aptos" w:cs="Times New Roman"/>
                <w:sz w:val="18"/>
                <w:szCs w:val="18"/>
              </w:rPr>
              <w:br/>
              <w:t>0 - в течение первого налогового периода;</w:t>
            </w:r>
            <w:r w:rsidRPr="00461E83">
              <w:rPr>
                <w:rFonts w:eastAsia="Aptos" w:cs="Times New Roman"/>
                <w:sz w:val="18"/>
                <w:szCs w:val="18"/>
              </w:rPr>
              <w:br/>
              <w:t>0,1 - в течение второго налогового периода;</w:t>
            </w:r>
            <w:r w:rsidRPr="00461E83">
              <w:rPr>
                <w:rFonts w:eastAsia="Aptos" w:cs="Times New Roman"/>
                <w:sz w:val="18"/>
                <w:szCs w:val="18"/>
              </w:rPr>
              <w:br/>
              <w:t>0,2 - в течение третьего налогового периода;</w:t>
            </w:r>
            <w:r w:rsidRPr="00461E83">
              <w:rPr>
                <w:rFonts w:eastAsia="Aptos" w:cs="Times New Roman"/>
                <w:sz w:val="18"/>
                <w:szCs w:val="18"/>
              </w:rPr>
              <w:br/>
            </w:r>
            <w:r w:rsidRPr="00461E83">
              <w:rPr>
                <w:rFonts w:eastAsia="Aptos" w:cs="Times New Roman"/>
                <w:sz w:val="18"/>
                <w:szCs w:val="18"/>
              </w:rPr>
              <w:lastRenderedPageBreak/>
              <w:t>0,4 - в течение четвертого налогового периода;</w:t>
            </w:r>
            <w:r w:rsidRPr="00461E83">
              <w:rPr>
                <w:rFonts w:eastAsia="Aptos" w:cs="Times New Roman"/>
                <w:sz w:val="18"/>
                <w:szCs w:val="18"/>
              </w:rPr>
              <w:br/>
              <w:t>0,6 - в течение пятого налогового периода;</w:t>
            </w:r>
            <w:r w:rsidRPr="00461E83">
              <w:rPr>
                <w:rFonts w:eastAsia="Aptos" w:cs="Times New Roman"/>
                <w:sz w:val="18"/>
                <w:szCs w:val="18"/>
              </w:rPr>
              <w:br/>
              <w:t>0,8 - в течение шестого налогового периода</w:t>
            </w:r>
          </w:p>
        </w:tc>
        <w:tc>
          <w:tcPr>
            <w:tcW w:w="2835"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lastRenderedPageBreak/>
              <w:t>Налоговый кодекс Российской Федерации (в ред. от 28.12.2016 № 464-</w:t>
            </w:r>
            <w:proofErr w:type="gramStart"/>
            <w:r w:rsidRPr="00461E83">
              <w:rPr>
                <w:rFonts w:eastAsia="Times New Roman" w:cs="Times New Roman"/>
                <w:sz w:val="18"/>
                <w:szCs w:val="18"/>
                <w:lang w:eastAsia="ru-RU"/>
              </w:rPr>
              <w:t>ФЗ)</w:t>
            </w:r>
            <w:r w:rsidRPr="00461E83">
              <w:rPr>
                <w:rFonts w:eastAsia="Times New Roman" w:cs="Times New Roman"/>
                <w:sz w:val="18"/>
                <w:szCs w:val="18"/>
                <w:lang w:eastAsia="ru-RU"/>
              </w:rPr>
              <w:br/>
              <w:t>ст.385.3</w:t>
            </w:r>
            <w:proofErr w:type="gramEnd"/>
          </w:p>
        </w:tc>
        <w:tc>
          <w:tcPr>
            <w:tcW w:w="1701"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Стимулирующая</w:t>
            </w:r>
          </w:p>
        </w:tc>
      </w:tr>
      <w:tr w:rsidR="00461E83" w:rsidRPr="00461E83" w:rsidTr="00BB52B8">
        <w:trPr>
          <w:trHeight w:val="96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10</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НИО.0024</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Пониженная ставка налога на имущество организаций в отношении железнодорожных путей общего пользования</w:t>
            </w:r>
          </w:p>
        </w:tc>
        <w:tc>
          <w:tcPr>
            <w:tcW w:w="6261" w:type="dxa"/>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Aptos" w:cs="Times New Roman"/>
                <w:sz w:val="18"/>
                <w:szCs w:val="18"/>
              </w:rPr>
              <w:t xml:space="preserve">Налоговые ставки, определяемые законами субъектов Российской Федерации в отношении железнодорожных путей общего пользования и сооружений, являющихся их неотъемлемой технологической частью, не могут превышать в 2017 году 1 процент, в 2018 году - 1,3 процента, в 2019 году - 1,3 процента, </w:t>
            </w:r>
            <w:r w:rsidR="00F00C5D">
              <w:rPr>
                <w:rFonts w:eastAsia="Aptos" w:cs="Times New Roman"/>
                <w:sz w:val="18"/>
                <w:szCs w:val="18"/>
              </w:rPr>
              <w:t>с</w:t>
            </w:r>
            <w:r w:rsidRPr="00461E83">
              <w:rPr>
                <w:rFonts w:eastAsia="Aptos" w:cs="Times New Roman"/>
                <w:sz w:val="18"/>
                <w:szCs w:val="18"/>
              </w:rPr>
              <w:t xml:space="preserve"> 2020 года - 1,6 процента</w:t>
            </w:r>
          </w:p>
        </w:tc>
        <w:tc>
          <w:tcPr>
            <w:tcW w:w="2835"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Налоговый кодекс Российской Федерации (в ред. от 28.12.2016 № 464-</w:t>
            </w:r>
            <w:proofErr w:type="gramStart"/>
            <w:r w:rsidRPr="00461E83">
              <w:rPr>
                <w:rFonts w:eastAsia="Times New Roman" w:cs="Times New Roman"/>
                <w:sz w:val="18"/>
                <w:szCs w:val="18"/>
                <w:lang w:eastAsia="ru-RU"/>
              </w:rPr>
              <w:t>ФЗ)</w:t>
            </w:r>
            <w:r w:rsidRPr="00461E83">
              <w:rPr>
                <w:rFonts w:eastAsia="Times New Roman" w:cs="Times New Roman"/>
                <w:sz w:val="18"/>
                <w:szCs w:val="18"/>
                <w:lang w:eastAsia="ru-RU"/>
              </w:rPr>
              <w:br/>
              <w:t>ст.</w:t>
            </w:r>
            <w:proofErr w:type="gramEnd"/>
            <w:r w:rsidRPr="00461E83">
              <w:rPr>
                <w:rFonts w:eastAsia="Times New Roman" w:cs="Times New Roman"/>
                <w:sz w:val="18"/>
                <w:szCs w:val="18"/>
                <w:lang w:eastAsia="ru-RU"/>
              </w:rPr>
              <w:t>380/п.3.2</w:t>
            </w:r>
          </w:p>
        </w:tc>
        <w:tc>
          <w:tcPr>
            <w:tcW w:w="1701"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Стимулирующая</w:t>
            </w:r>
          </w:p>
        </w:tc>
      </w:tr>
      <w:tr w:rsidR="00461E83" w:rsidRPr="00461E83" w:rsidTr="00BB52B8">
        <w:trPr>
          <w:trHeight w:val="1469"/>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11</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ВВТП.0025</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ввозной таможенной пошлины при ввозе гражданских пассажирских самолетов</w:t>
            </w:r>
          </w:p>
        </w:tc>
        <w:tc>
          <w:tcPr>
            <w:tcW w:w="6261" w:type="dxa"/>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Aptos" w:cs="Times New Roman"/>
                <w:sz w:val="18"/>
                <w:szCs w:val="18"/>
              </w:rPr>
              <w:t>От ввозной таможенной пошлины освобождаются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tc>
        <w:tc>
          <w:tcPr>
            <w:tcW w:w="2835" w:type="dxa"/>
            <w:shd w:val="clear" w:color="auto" w:fill="auto"/>
            <w:vAlign w:val="center"/>
          </w:tcPr>
          <w:p w:rsidR="00461E83" w:rsidRPr="00461E83" w:rsidRDefault="00461E83" w:rsidP="000A4CA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 xml:space="preserve">Решение Комиссии Таможенного союза от 27 ноября 2009 г. № 130 </w:t>
            </w:r>
            <w:r w:rsidR="000A4CA3">
              <w:rPr>
                <w:rFonts w:eastAsia="Times New Roman" w:cs="Times New Roman"/>
                <w:sz w:val="18"/>
                <w:szCs w:val="18"/>
                <w:lang w:eastAsia="ru-RU"/>
              </w:rPr>
              <w:t>«</w:t>
            </w:r>
            <w:r w:rsidRPr="00461E83">
              <w:rPr>
                <w:rFonts w:eastAsia="Times New Roman" w:cs="Times New Roman"/>
                <w:sz w:val="18"/>
                <w:szCs w:val="18"/>
                <w:lang w:eastAsia="ru-RU"/>
              </w:rPr>
              <w:t>О едином таможенно-тарифном регулировании Евразийского экономического союза</w:t>
            </w:r>
            <w:r w:rsidR="000A4CA3">
              <w:rPr>
                <w:rFonts w:eastAsia="Times New Roman" w:cs="Times New Roman"/>
                <w:sz w:val="18"/>
                <w:szCs w:val="18"/>
                <w:lang w:eastAsia="ru-RU"/>
              </w:rPr>
              <w:t>»</w:t>
            </w:r>
            <w:r w:rsidRPr="00461E83">
              <w:rPr>
                <w:rFonts w:eastAsia="Times New Roman" w:cs="Times New Roman"/>
                <w:sz w:val="18"/>
                <w:szCs w:val="18"/>
                <w:lang w:eastAsia="ru-RU"/>
              </w:rPr>
              <w:t xml:space="preserve"> </w:t>
            </w:r>
            <w:r w:rsidRPr="00461E83">
              <w:rPr>
                <w:rFonts w:eastAsia="Times New Roman" w:cs="Times New Roman"/>
                <w:sz w:val="18"/>
                <w:szCs w:val="18"/>
                <w:lang w:eastAsia="ru-RU"/>
              </w:rPr>
              <w:br/>
            </w:r>
            <w:proofErr w:type="gramStart"/>
            <w:r w:rsidRPr="00461E83">
              <w:rPr>
                <w:rFonts w:eastAsia="Times New Roman" w:cs="Times New Roman"/>
                <w:sz w:val="18"/>
                <w:szCs w:val="18"/>
                <w:lang w:eastAsia="ru-RU"/>
              </w:rPr>
              <w:t>п.7.1./</w:t>
            </w:r>
            <w:proofErr w:type="gramEnd"/>
            <w:r w:rsidRPr="00461E83">
              <w:rPr>
                <w:rFonts w:eastAsia="Times New Roman" w:cs="Times New Roman"/>
                <w:sz w:val="18"/>
                <w:szCs w:val="18"/>
                <w:lang w:eastAsia="ru-RU"/>
              </w:rPr>
              <w:t>пп.7.1.13</w:t>
            </w:r>
          </w:p>
        </w:tc>
        <w:tc>
          <w:tcPr>
            <w:tcW w:w="1701"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Стимулирующая</w:t>
            </w:r>
          </w:p>
        </w:tc>
      </w:tr>
      <w:tr w:rsidR="00461E83" w:rsidRPr="00461E83" w:rsidTr="00BB52B8">
        <w:trPr>
          <w:trHeight w:val="168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12</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ВВТП.0027</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ввозной таможенной пошлины при ввозе авиационных двигателей</w:t>
            </w:r>
          </w:p>
        </w:tc>
        <w:tc>
          <w:tcPr>
            <w:tcW w:w="6261" w:type="dxa"/>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Aptos" w:cs="Times New Roman"/>
                <w:sz w:val="18"/>
                <w:szCs w:val="18"/>
              </w:rPr>
              <w:t>От ввозной таможенной пошлины освобождаются: авиационные двигатели, запасные части и оборудование, необходимые для ремонта и (или) технического обслуживания гражданских пассажирских самолетов и (или) авиационных двигателей к ним</w:t>
            </w:r>
          </w:p>
        </w:tc>
        <w:tc>
          <w:tcPr>
            <w:tcW w:w="2835" w:type="dxa"/>
            <w:shd w:val="clear" w:color="auto" w:fill="auto"/>
            <w:vAlign w:val="center"/>
          </w:tcPr>
          <w:p w:rsidR="00461E83" w:rsidRPr="00461E83" w:rsidRDefault="00461E83" w:rsidP="000A4CA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 xml:space="preserve">Решение Комиссии Таможенного союза от 27 ноября 2009 г. №130 </w:t>
            </w:r>
            <w:r w:rsidR="000A4CA3">
              <w:rPr>
                <w:rFonts w:eastAsia="Times New Roman" w:cs="Times New Roman"/>
                <w:sz w:val="18"/>
                <w:szCs w:val="18"/>
                <w:lang w:eastAsia="ru-RU"/>
              </w:rPr>
              <w:t>«</w:t>
            </w:r>
            <w:r w:rsidRPr="00461E83">
              <w:rPr>
                <w:rFonts w:eastAsia="Times New Roman" w:cs="Times New Roman"/>
                <w:sz w:val="18"/>
                <w:szCs w:val="18"/>
                <w:lang w:eastAsia="ru-RU"/>
              </w:rPr>
              <w:t xml:space="preserve">О едином таможенно-тарифном регулировании Евразийского экономического </w:t>
            </w:r>
            <w:proofErr w:type="gramStart"/>
            <w:r w:rsidRPr="00461E83">
              <w:rPr>
                <w:rFonts w:eastAsia="Times New Roman" w:cs="Times New Roman"/>
                <w:sz w:val="18"/>
                <w:szCs w:val="18"/>
                <w:lang w:eastAsia="ru-RU"/>
              </w:rPr>
              <w:t>союза</w:t>
            </w:r>
            <w:r w:rsidR="000A4CA3">
              <w:rPr>
                <w:rFonts w:eastAsia="Times New Roman" w:cs="Times New Roman"/>
                <w:sz w:val="18"/>
                <w:szCs w:val="18"/>
                <w:lang w:eastAsia="ru-RU"/>
              </w:rPr>
              <w:t>»</w:t>
            </w:r>
            <w:r w:rsidRPr="00461E83">
              <w:rPr>
                <w:rFonts w:eastAsia="Times New Roman" w:cs="Times New Roman"/>
                <w:sz w:val="18"/>
                <w:szCs w:val="18"/>
                <w:lang w:eastAsia="ru-RU"/>
              </w:rPr>
              <w:t xml:space="preserve">   </w:t>
            </w:r>
            <w:proofErr w:type="gramEnd"/>
            <w:r w:rsidRPr="00461E83">
              <w:rPr>
                <w:rFonts w:eastAsia="Times New Roman" w:cs="Times New Roman"/>
                <w:sz w:val="18"/>
                <w:szCs w:val="18"/>
                <w:lang w:eastAsia="ru-RU"/>
              </w:rPr>
              <w:t xml:space="preserve">  </w:t>
            </w:r>
            <w:r w:rsidRPr="00461E83">
              <w:rPr>
                <w:rFonts w:eastAsia="Times New Roman" w:cs="Times New Roman"/>
                <w:sz w:val="18"/>
                <w:szCs w:val="18"/>
                <w:lang w:eastAsia="ru-RU"/>
              </w:rPr>
              <w:br/>
              <w:t>п.7.1./пп.7.1.15</w:t>
            </w:r>
          </w:p>
        </w:tc>
        <w:tc>
          <w:tcPr>
            <w:tcW w:w="1701"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Стимулирующая</w:t>
            </w:r>
          </w:p>
        </w:tc>
      </w:tr>
      <w:tr w:rsidR="00461E83" w:rsidRPr="00461E83" w:rsidTr="00BB52B8">
        <w:trPr>
          <w:trHeight w:val="144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13</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ТН.0009</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Исключение из состава объектов налогообложения по транспортному налогу пассажирских и грузовых морских, речных и воздушных судов, используемых для перевозок</w:t>
            </w:r>
          </w:p>
        </w:tc>
        <w:tc>
          <w:tcPr>
            <w:tcW w:w="6261" w:type="dxa"/>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Aptos" w:cs="Times New Roman"/>
                <w:sz w:val="18"/>
                <w:szCs w:val="18"/>
              </w:rPr>
              <w:t>Не являются объектом налогообложения: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tc>
        <w:tc>
          <w:tcPr>
            <w:tcW w:w="2835"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Налоговый кодекс Российской Федерации (в ред. от 24.07.2002 № 110-</w:t>
            </w:r>
            <w:proofErr w:type="gramStart"/>
            <w:r w:rsidRPr="00461E83">
              <w:rPr>
                <w:rFonts w:eastAsia="Times New Roman" w:cs="Times New Roman"/>
                <w:sz w:val="18"/>
                <w:szCs w:val="18"/>
                <w:lang w:eastAsia="ru-RU"/>
              </w:rPr>
              <w:t>ФЗ)</w:t>
            </w:r>
            <w:r w:rsidRPr="00461E83">
              <w:rPr>
                <w:rFonts w:eastAsia="Times New Roman" w:cs="Times New Roman"/>
                <w:sz w:val="18"/>
                <w:szCs w:val="18"/>
                <w:lang w:eastAsia="ru-RU"/>
              </w:rPr>
              <w:br/>
              <w:t>ст.</w:t>
            </w:r>
            <w:proofErr w:type="gramEnd"/>
            <w:r w:rsidRPr="00461E83">
              <w:rPr>
                <w:rFonts w:eastAsia="Times New Roman" w:cs="Times New Roman"/>
                <w:sz w:val="18"/>
                <w:szCs w:val="18"/>
                <w:lang w:eastAsia="ru-RU"/>
              </w:rPr>
              <w:t>358/п.2/пп.4</w:t>
            </w:r>
          </w:p>
        </w:tc>
        <w:tc>
          <w:tcPr>
            <w:tcW w:w="1701"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Техническая</w:t>
            </w:r>
          </w:p>
        </w:tc>
      </w:tr>
      <w:tr w:rsidR="00461E83" w:rsidRPr="003327BB" w:rsidTr="00BB52B8">
        <w:trPr>
          <w:trHeight w:val="96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14</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НДС.0225</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НДС при ввозе авиационных двигателей</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Не подлежит налогообложению (освобождается от налогообложения) ввоз на территорию Российской Федерации и иные территории, находящиеся под ее юрисдикцией: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w:t>
            </w:r>
            <w:r w:rsidR="00665CDF" w:rsidRPr="003327BB">
              <w:rPr>
                <w:rFonts w:eastAsia="Aptos" w:cs="Times New Roman"/>
                <w:sz w:val="18"/>
                <w:szCs w:val="18"/>
              </w:rPr>
              <w:t xml:space="preserve"> (за исключением сверхлегких пилотируемых воздушных судов с массой конструкции 115 килограммов и менее)</w:t>
            </w:r>
            <w:r w:rsidRPr="003327BB">
              <w:rPr>
                <w:rFonts w:eastAsia="Aptos" w:cs="Times New Roman"/>
                <w:sz w:val="18"/>
                <w:szCs w:val="18"/>
              </w:rPr>
              <w:t xml:space="preserve">, а также печатных изданий, опытных </w:t>
            </w:r>
            <w:r w:rsidRPr="003327BB">
              <w:rPr>
                <w:rFonts w:eastAsia="Aptos" w:cs="Times New Roman"/>
                <w:sz w:val="18"/>
                <w:szCs w:val="18"/>
              </w:rPr>
              <w:lastRenderedPageBreak/>
              <w:t>образцов и (или) их составных частей, необходимых для разработки, создания и (или) испытания гражданских воздушных судов и (или) авиационных двигателей</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lastRenderedPageBreak/>
              <w:t xml:space="preserve">Налоговый кодекс Российской Федерации (в ред. от 29.09.2019 № 324-ФЗ) </w:t>
            </w:r>
            <w:r w:rsidRPr="003327BB">
              <w:rPr>
                <w:rFonts w:eastAsia="Times New Roman" w:cs="Times New Roman"/>
                <w:sz w:val="18"/>
                <w:szCs w:val="18"/>
                <w:lang w:eastAsia="ru-RU"/>
              </w:rPr>
              <w:br/>
              <w:t>ст.150/пп.22</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461E83">
        <w:trPr>
          <w:trHeight w:val="168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15</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ВВТП.0026</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ввозной таможенной пошлины гражданских пассажирских самолетов</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 xml:space="preserve">От ввозной таможенной пошлины освобождаются: гражданские пассажирские самолеты </w:t>
            </w:r>
            <w:proofErr w:type="spellStart"/>
            <w:r w:rsidRPr="003327BB">
              <w:rPr>
                <w:rFonts w:eastAsia="Aptos" w:cs="Times New Roman"/>
                <w:sz w:val="18"/>
                <w:szCs w:val="18"/>
              </w:rPr>
              <w:t>подсубпозиций</w:t>
            </w:r>
            <w:proofErr w:type="spellEnd"/>
            <w:r w:rsidRPr="003327BB">
              <w:rPr>
                <w:rFonts w:eastAsia="Aptos" w:cs="Times New Roman"/>
                <w:sz w:val="18"/>
                <w:szCs w:val="18"/>
              </w:rPr>
              <w:t xml:space="preserve"> 8802 40 003 5 и 8802 40 003 6 ТН ВЭД ЕАЭС, ввезенные на таможенную территорию Евразийского экономического союза с применением льготы, указанной в подпункте 7.1.13 Решения Комиссии Таможенного союза от 27 ноября 2009 г. № 130,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tc>
        <w:tc>
          <w:tcPr>
            <w:tcW w:w="2835" w:type="dxa"/>
            <w:shd w:val="clear" w:color="auto" w:fill="FFFFFF"/>
            <w:vAlign w:val="center"/>
          </w:tcPr>
          <w:p w:rsidR="00461E83" w:rsidRPr="003327BB" w:rsidRDefault="00461E83" w:rsidP="000A4CA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Решение Комиссии Таможенного союза от 27 ноября 2009 г. № 130 </w:t>
            </w:r>
            <w:r w:rsidR="000A4CA3">
              <w:rPr>
                <w:rFonts w:eastAsia="Times New Roman" w:cs="Times New Roman"/>
                <w:sz w:val="18"/>
                <w:szCs w:val="18"/>
                <w:lang w:eastAsia="ru-RU"/>
              </w:rPr>
              <w:t>«</w:t>
            </w:r>
            <w:r w:rsidRPr="003327BB">
              <w:rPr>
                <w:rFonts w:eastAsia="Times New Roman" w:cs="Times New Roman"/>
                <w:sz w:val="18"/>
                <w:szCs w:val="18"/>
                <w:lang w:eastAsia="ru-RU"/>
              </w:rPr>
              <w:t>О едином таможенно-тарифном регулировании Евразийского экономического союза</w:t>
            </w:r>
            <w:r w:rsidR="000A4CA3">
              <w:rPr>
                <w:rFonts w:eastAsia="Times New Roman" w:cs="Times New Roman"/>
                <w:sz w:val="18"/>
                <w:szCs w:val="18"/>
                <w:lang w:eastAsia="ru-RU"/>
              </w:rPr>
              <w:t>»</w:t>
            </w:r>
            <w:r w:rsidRPr="003327BB">
              <w:rPr>
                <w:rFonts w:eastAsia="Times New Roman" w:cs="Times New Roman"/>
                <w:sz w:val="18"/>
                <w:szCs w:val="18"/>
                <w:lang w:eastAsia="ru-RU"/>
              </w:rPr>
              <w:t xml:space="preserve"> </w:t>
            </w:r>
            <w:r w:rsidRPr="003327BB">
              <w:rPr>
                <w:rFonts w:eastAsia="Times New Roman" w:cs="Times New Roman"/>
                <w:sz w:val="18"/>
                <w:szCs w:val="18"/>
                <w:lang w:eastAsia="ru-RU"/>
              </w:rPr>
              <w:br/>
              <w:t>п.7.1/пп.7.1.14</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96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16</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НДС.0230</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Пониженная ставка НДС при реализации авиационных двигателей, запасных частей и комплектующих изделий</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Налогообложение производится по налоговой ставке 0 процентов при реализации: авиационных двигателей, запасных частей и комплектующих изделий, предназначенных для строительства, ремонта и (или) модернизации на территории Российской Федерации гражданских воздушных судов</w:t>
            </w:r>
            <w:r w:rsidR="00323C74" w:rsidRPr="003327BB">
              <w:rPr>
                <w:rFonts w:eastAsia="Aptos" w:cs="Times New Roman"/>
                <w:sz w:val="18"/>
                <w:szCs w:val="18"/>
              </w:rPr>
              <w:t xml:space="preserve"> (за исключением сверхлегких пилотируемых воздушных судов с массой конструкции 115 килограммов и менее)</w:t>
            </w:r>
            <w:r w:rsidRPr="003327BB">
              <w:rPr>
                <w:rFonts w:eastAsia="Aptos" w:cs="Times New Roman"/>
                <w:sz w:val="18"/>
                <w:szCs w:val="18"/>
              </w:rPr>
              <w:t xml:space="preserve">, при условии представления в налоговые органы документов, предусмотренных </w:t>
            </w:r>
            <w:r w:rsidR="00323C74" w:rsidRPr="003327BB">
              <w:rPr>
                <w:rFonts w:eastAsia="Aptos" w:cs="Times New Roman"/>
                <w:sz w:val="18"/>
                <w:szCs w:val="18"/>
              </w:rPr>
              <w:t>пунктом 15.2 статьи</w:t>
            </w:r>
            <w:r w:rsidRPr="003327BB">
              <w:rPr>
                <w:rFonts w:eastAsia="Aptos" w:cs="Times New Roman"/>
                <w:sz w:val="18"/>
                <w:szCs w:val="18"/>
              </w:rPr>
              <w:t xml:space="preserve"> 165 НК РФ</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Налоговый кодекс Ро</w:t>
            </w:r>
            <w:r w:rsidR="00323C74" w:rsidRPr="003327BB">
              <w:rPr>
                <w:rFonts w:eastAsia="Times New Roman" w:cs="Times New Roman"/>
                <w:sz w:val="18"/>
                <w:szCs w:val="18"/>
                <w:lang w:eastAsia="ru-RU"/>
              </w:rPr>
              <w:t>ссийской Федерации (в ред. от 14.11.2023</w:t>
            </w:r>
            <w:r w:rsidRPr="003327BB">
              <w:rPr>
                <w:rFonts w:eastAsia="Times New Roman" w:cs="Times New Roman"/>
                <w:sz w:val="18"/>
                <w:szCs w:val="18"/>
                <w:lang w:eastAsia="ru-RU"/>
              </w:rPr>
              <w:t xml:space="preserve"> №</w:t>
            </w:r>
            <w:r w:rsidR="00323C74" w:rsidRPr="003327BB">
              <w:rPr>
                <w:rFonts w:eastAsia="Times New Roman" w:cs="Times New Roman"/>
                <w:sz w:val="18"/>
                <w:szCs w:val="18"/>
                <w:lang w:eastAsia="ru-RU"/>
              </w:rPr>
              <w:t xml:space="preserve"> 538</w:t>
            </w:r>
            <w:r w:rsidRPr="003327BB">
              <w:rPr>
                <w:rFonts w:eastAsia="Times New Roman" w:cs="Times New Roman"/>
                <w:sz w:val="18"/>
                <w:szCs w:val="18"/>
                <w:lang w:eastAsia="ru-RU"/>
              </w:rPr>
              <w:t xml:space="preserve">-ФЗ) </w:t>
            </w:r>
            <w:r w:rsidRPr="003327BB">
              <w:rPr>
                <w:rFonts w:eastAsia="Times New Roman" w:cs="Times New Roman"/>
                <w:sz w:val="18"/>
                <w:szCs w:val="18"/>
                <w:lang w:eastAsia="ru-RU"/>
              </w:rPr>
              <w:br/>
              <w:t>ст.164/п.1/пп.16</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168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17</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ВВТП.0055</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ввозной таможенной пошлины при ввозе турбовинтовых гражданских пассажирских самолетов</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От ввозной таможенной пошлины освобождаются: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tc>
        <w:tc>
          <w:tcPr>
            <w:tcW w:w="2835" w:type="dxa"/>
            <w:shd w:val="clear" w:color="auto" w:fill="auto"/>
            <w:vAlign w:val="center"/>
          </w:tcPr>
          <w:p w:rsidR="00461E83" w:rsidRPr="003327BB" w:rsidRDefault="00461E83" w:rsidP="000A4CA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Решение Комиссии Таможенного союза от 27 ноября 2009 г. № 130 </w:t>
            </w:r>
            <w:r w:rsidR="000A4CA3">
              <w:rPr>
                <w:rFonts w:eastAsia="Times New Roman" w:cs="Times New Roman"/>
                <w:sz w:val="18"/>
                <w:szCs w:val="18"/>
                <w:lang w:eastAsia="ru-RU"/>
              </w:rPr>
              <w:t>«</w:t>
            </w:r>
            <w:r w:rsidRPr="003327BB">
              <w:rPr>
                <w:rFonts w:eastAsia="Times New Roman" w:cs="Times New Roman"/>
                <w:sz w:val="18"/>
                <w:szCs w:val="18"/>
                <w:lang w:eastAsia="ru-RU"/>
              </w:rPr>
              <w:t xml:space="preserve">О едином таможенно-тарифном регулировании Евразийского экономического </w:t>
            </w:r>
            <w:proofErr w:type="gramStart"/>
            <w:r w:rsidRPr="003327BB">
              <w:rPr>
                <w:rFonts w:eastAsia="Times New Roman" w:cs="Times New Roman"/>
                <w:sz w:val="18"/>
                <w:szCs w:val="18"/>
                <w:lang w:eastAsia="ru-RU"/>
              </w:rPr>
              <w:t>союза</w:t>
            </w:r>
            <w:r w:rsidR="000A4CA3">
              <w:rPr>
                <w:rFonts w:eastAsia="Times New Roman" w:cs="Times New Roman"/>
                <w:sz w:val="18"/>
                <w:szCs w:val="18"/>
                <w:lang w:eastAsia="ru-RU"/>
              </w:rPr>
              <w:t>»</w:t>
            </w:r>
            <w:r w:rsidRPr="003327BB">
              <w:rPr>
                <w:rFonts w:eastAsia="Times New Roman" w:cs="Times New Roman"/>
                <w:sz w:val="18"/>
                <w:szCs w:val="18"/>
                <w:lang w:eastAsia="ru-RU"/>
              </w:rPr>
              <w:br/>
              <w:t>п.7.1</w:t>
            </w:r>
            <w:proofErr w:type="gramEnd"/>
            <w:r w:rsidRPr="003327BB">
              <w:rPr>
                <w:rFonts w:eastAsia="Times New Roman" w:cs="Times New Roman"/>
                <w:sz w:val="18"/>
                <w:szCs w:val="18"/>
                <w:lang w:eastAsia="ru-RU"/>
              </w:rPr>
              <w:t>/пп.7.1.20</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1200"/>
        </w:trPr>
        <w:tc>
          <w:tcPr>
            <w:tcW w:w="562" w:type="dxa"/>
            <w:shd w:val="clear" w:color="auto" w:fill="auto"/>
            <w:noWrap/>
            <w:vAlign w:val="center"/>
          </w:tcPr>
          <w:p w:rsidR="00461E83" w:rsidRPr="00576127" w:rsidRDefault="00461E83" w:rsidP="00461E83">
            <w:pPr>
              <w:spacing w:line="240" w:lineRule="auto"/>
              <w:jc w:val="center"/>
              <w:rPr>
                <w:rFonts w:eastAsia="Times New Roman" w:cs="Times New Roman"/>
                <w:color w:val="000000"/>
                <w:sz w:val="18"/>
                <w:szCs w:val="18"/>
                <w:lang w:eastAsia="ru-RU"/>
              </w:rPr>
            </w:pPr>
            <w:r w:rsidRPr="00576127">
              <w:rPr>
                <w:rFonts w:eastAsia="Times New Roman" w:cs="Times New Roman"/>
                <w:color w:val="000000"/>
                <w:sz w:val="18"/>
                <w:szCs w:val="18"/>
                <w:lang w:eastAsia="ru-RU"/>
              </w:rPr>
              <w:t>18</w:t>
            </w:r>
          </w:p>
        </w:tc>
        <w:tc>
          <w:tcPr>
            <w:tcW w:w="1102"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НДС.0219</w:t>
            </w:r>
          </w:p>
        </w:tc>
        <w:tc>
          <w:tcPr>
            <w:tcW w:w="2418" w:type="dxa"/>
            <w:shd w:val="clear" w:color="auto" w:fill="auto"/>
            <w:vAlign w:val="center"/>
          </w:tcPr>
          <w:p w:rsidR="00461E83" w:rsidRPr="00576127" w:rsidRDefault="00461E83" w:rsidP="00461E83">
            <w:pPr>
              <w:spacing w:line="240" w:lineRule="auto"/>
              <w:jc w:val="center"/>
              <w:rPr>
                <w:rFonts w:eastAsia="Times New Roman" w:cs="Times New Roman"/>
                <w:sz w:val="18"/>
                <w:szCs w:val="18"/>
                <w:lang w:eastAsia="ru-RU"/>
              </w:rPr>
            </w:pPr>
            <w:r w:rsidRPr="00576127">
              <w:rPr>
                <w:rFonts w:eastAsia="Times New Roman" w:cs="Times New Roman"/>
                <w:sz w:val="18"/>
                <w:szCs w:val="18"/>
                <w:lang w:eastAsia="ru-RU"/>
              </w:rPr>
              <w:t>Пониженная ставка НДС на услуги по внутренним воздушным перевозкам пассажиров и багажа вне территории Московской области и территории г. Москвы</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Налогообложение производится по налоговой ставке 0 процентов при реализации: услуг по внутренним воздушным перевозкам пассажиров и багажа при условии, что пункт отправления, пункт назначения пассажиров и багажа, а также все промежуточные пункты маршрута перевозки в случае их наличия расположены вне территории Московской области и территории города федерального значения Москвы</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(в ред. от 06.06.2019 № 123-ФЗ) </w:t>
            </w:r>
            <w:r w:rsidRPr="003327BB">
              <w:rPr>
                <w:rFonts w:eastAsia="Times New Roman" w:cs="Times New Roman"/>
                <w:sz w:val="18"/>
                <w:szCs w:val="18"/>
                <w:lang w:eastAsia="ru-RU"/>
              </w:rPr>
              <w:br/>
              <w:t>ст.164/п.1/пп.4.3</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Социальная</w:t>
            </w:r>
          </w:p>
        </w:tc>
      </w:tr>
      <w:tr w:rsidR="00461E83" w:rsidRPr="003327BB" w:rsidTr="00BB52B8">
        <w:trPr>
          <w:trHeight w:val="96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19</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НДС.0223</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НДС при ввозе гражданских воздушных судов</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Не подлежит налогообложению (освобождается от налогообложения) ввоз на территорию Российской Федерации и иные территории, находящиеся под ее юрисдикцией: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w:t>
            </w:r>
          </w:p>
        </w:tc>
        <w:tc>
          <w:tcPr>
            <w:tcW w:w="2835" w:type="dxa"/>
            <w:shd w:val="clear" w:color="000000" w:fill="FFFFFF"/>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(в ред. от 29.09.2019 № 324-ФЗ) </w:t>
            </w:r>
            <w:r w:rsidRPr="003327BB">
              <w:rPr>
                <w:rFonts w:eastAsia="Times New Roman" w:cs="Times New Roman"/>
                <w:sz w:val="18"/>
                <w:szCs w:val="18"/>
                <w:lang w:eastAsia="ru-RU"/>
              </w:rPr>
              <w:br/>
              <w:t>ст.150/пп.20</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96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20</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НДС.0226</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Пониженная ставка НДС при реализации гражданских воздушных судов</w:t>
            </w:r>
          </w:p>
        </w:tc>
        <w:tc>
          <w:tcPr>
            <w:tcW w:w="6261" w:type="dxa"/>
            <w:vAlign w:val="center"/>
          </w:tcPr>
          <w:p w:rsidR="00461E83" w:rsidRPr="003327BB" w:rsidRDefault="00461E83" w:rsidP="00565F5C">
            <w:pPr>
              <w:spacing w:line="240" w:lineRule="auto"/>
              <w:jc w:val="center"/>
              <w:rPr>
                <w:rFonts w:eastAsia="Times New Roman" w:cs="Times New Roman"/>
                <w:sz w:val="18"/>
                <w:szCs w:val="18"/>
                <w:lang w:eastAsia="ru-RU"/>
              </w:rPr>
            </w:pPr>
            <w:bookmarkStart w:id="1" w:name="_GoBack"/>
            <w:bookmarkEnd w:id="1"/>
            <w:r w:rsidRPr="003327BB">
              <w:rPr>
                <w:rFonts w:eastAsia="Aptos" w:cs="Times New Roman"/>
                <w:sz w:val="18"/>
                <w:szCs w:val="18"/>
              </w:rPr>
              <w:t xml:space="preserve">Налогообложение производится по налоговой ставке 0 процентов при реализации: гражданских воздушных судов, зарегистрированных (подлежащих регистрации) в Государственном реестре гражданских воздушных судов Российской Федерации, а также работ (услуг) по строительству гражданских воздушных судов при условии представления в налоговые органы документов, предусмотренных </w:t>
            </w:r>
            <w:r w:rsidR="00323C74" w:rsidRPr="003327BB">
              <w:rPr>
                <w:rFonts w:eastAsia="Aptos" w:cs="Times New Roman"/>
                <w:sz w:val="18"/>
                <w:szCs w:val="18"/>
              </w:rPr>
              <w:t>статьи</w:t>
            </w:r>
            <w:r w:rsidRPr="003327BB">
              <w:rPr>
                <w:rFonts w:eastAsia="Aptos" w:cs="Times New Roman"/>
                <w:sz w:val="18"/>
                <w:szCs w:val="18"/>
              </w:rPr>
              <w:t xml:space="preserve"> 165 НК РФ</w:t>
            </w:r>
          </w:p>
        </w:tc>
        <w:tc>
          <w:tcPr>
            <w:tcW w:w="2835" w:type="dxa"/>
            <w:shd w:val="clear" w:color="auto" w:fill="auto"/>
            <w:vAlign w:val="center"/>
          </w:tcPr>
          <w:p w:rsidR="00461E83" w:rsidRPr="003327BB" w:rsidRDefault="00461E83" w:rsidP="00565F5C">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(в ред. от 29.09.2019 № 324-ФЗ) </w:t>
            </w:r>
            <w:r w:rsidR="00565F5C" w:rsidRPr="003327BB">
              <w:rPr>
                <w:rFonts w:eastAsia="Times New Roman" w:cs="Times New Roman"/>
                <w:sz w:val="18"/>
                <w:szCs w:val="18"/>
                <w:lang w:eastAsia="ru-RU"/>
              </w:rPr>
              <w:br/>
            </w:r>
            <w:r w:rsidRPr="003327BB">
              <w:rPr>
                <w:rFonts w:eastAsia="Times New Roman" w:cs="Times New Roman"/>
                <w:sz w:val="18"/>
                <w:szCs w:val="18"/>
                <w:lang w:eastAsia="ru-RU"/>
              </w:rPr>
              <w:t>ст.164/п.1/пп.15</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96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21</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НДС.0227</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Пониженная ставка НДС на услуги по передаче гражданских воздушных судов</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Налогообложение производится по налоговой ставке 0 процентов при реализации: услуг по передаче гражданских воздушных судов, зарегистрированных (подлежащих регистрации) в Государственном реестре гражданских воздушных судов Российской Федерации, по договорам аренды (лизинга) при условии представления в налоговые органы документов, предусмотренных статьей 165 НК РФ</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(в ред. от 29.09.2019 № 324-ФЗ) </w:t>
            </w:r>
            <w:r w:rsidRPr="003327BB">
              <w:rPr>
                <w:rFonts w:eastAsia="Times New Roman" w:cs="Times New Roman"/>
                <w:sz w:val="18"/>
                <w:szCs w:val="18"/>
                <w:lang w:eastAsia="ru-RU"/>
              </w:rPr>
              <w:br/>
              <w:t>ст.164/п.1/пп.17</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120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22</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НИО.0034</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Освобождение от уплаты налога на имущество организаций в отношении федеральных автомобильных дорог общего пользования</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Освобождаются от налогообложения организации - в отношении федеральных автомобильных дорог общего пользования и сооружений, являющихся их неотъемлемой технологической частью</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w:t>
            </w:r>
            <w:r w:rsidRPr="003327BB">
              <w:rPr>
                <w:rFonts w:eastAsia="Times New Roman" w:cs="Times New Roman"/>
                <w:sz w:val="18"/>
                <w:szCs w:val="18"/>
                <w:lang w:eastAsia="ru-RU"/>
              </w:rPr>
              <w:br/>
              <w:t xml:space="preserve">(в ред. от 11.11.2003 № 139-ФЗ) </w:t>
            </w:r>
            <w:r w:rsidRPr="003327BB">
              <w:rPr>
                <w:rFonts w:eastAsia="Times New Roman" w:cs="Times New Roman"/>
                <w:sz w:val="18"/>
                <w:szCs w:val="18"/>
                <w:lang w:eastAsia="ru-RU"/>
              </w:rPr>
              <w:br/>
              <w:t>ст.381/п.11</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Техническая</w:t>
            </w:r>
          </w:p>
        </w:tc>
      </w:tr>
      <w:tr w:rsidR="00461E83" w:rsidRPr="003327BB" w:rsidTr="00BB52B8">
        <w:trPr>
          <w:trHeight w:val="168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23</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НИО.0059</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Исключение из состава объектов налогообложения по налогу на имущество организаций воздушных судов, зарегистрированных в Государственном реестре гражданских воздушных судов</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Не признаются объектами налогообложения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3 августа 2018 г. № 291-ФЗ «О специальных административных районах на территориях Калининградской области и Приморского края»</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(в ред. от 29.09.2019 № 324-ФЗ) </w:t>
            </w:r>
            <w:r w:rsidRPr="003327BB">
              <w:rPr>
                <w:rFonts w:eastAsia="Times New Roman" w:cs="Times New Roman"/>
                <w:sz w:val="18"/>
                <w:szCs w:val="18"/>
                <w:lang w:eastAsia="ru-RU"/>
              </w:rPr>
              <w:br/>
              <w:t>ст.374/п.4/пп.10</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r w:rsidR="00461E83" w:rsidRPr="003327BB" w:rsidTr="00BB52B8">
        <w:trPr>
          <w:trHeight w:val="1440"/>
        </w:trPr>
        <w:tc>
          <w:tcPr>
            <w:tcW w:w="562" w:type="dxa"/>
            <w:shd w:val="clear" w:color="auto" w:fill="auto"/>
            <w:noWrap/>
            <w:vAlign w:val="center"/>
          </w:tcPr>
          <w:p w:rsidR="00461E83" w:rsidRPr="00461E83" w:rsidRDefault="00461E83" w:rsidP="00461E83">
            <w:pPr>
              <w:spacing w:line="240" w:lineRule="auto"/>
              <w:jc w:val="center"/>
              <w:rPr>
                <w:rFonts w:eastAsia="Times New Roman" w:cs="Times New Roman"/>
                <w:color w:val="000000"/>
                <w:sz w:val="18"/>
                <w:szCs w:val="18"/>
                <w:lang w:eastAsia="ru-RU"/>
              </w:rPr>
            </w:pPr>
            <w:r w:rsidRPr="00461E83">
              <w:rPr>
                <w:rFonts w:eastAsia="Times New Roman" w:cs="Times New Roman"/>
                <w:color w:val="000000"/>
                <w:sz w:val="18"/>
                <w:szCs w:val="18"/>
                <w:lang w:eastAsia="ru-RU"/>
              </w:rPr>
              <w:t>24</w:t>
            </w:r>
          </w:p>
        </w:tc>
        <w:tc>
          <w:tcPr>
            <w:tcW w:w="1102"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ТН.0017</w:t>
            </w:r>
          </w:p>
        </w:tc>
        <w:tc>
          <w:tcPr>
            <w:tcW w:w="2418" w:type="dxa"/>
            <w:shd w:val="clear" w:color="auto" w:fill="auto"/>
            <w:vAlign w:val="center"/>
          </w:tcPr>
          <w:p w:rsidR="00461E83" w:rsidRPr="00461E83" w:rsidRDefault="00461E83" w:rsidP="00461E83">
            <w:pPr>
              <w:spacing w:line="240" w:lineRule="auto"/>
              <w:jc w:val="center"/>
              <w:rPr>
                <w:rFonts w:eastAsia="Times New Roman" w:cs="Times New Roman"/>
                <w:sz w:val="18"/>
                <w:szCs w:val="18"/>
                <w:lang w:eastAsia="ru-RU"/>
              </w:rPr>
            </w:pPr>
            <w:r w:rsidRPr="00461E83">
              <w:rPr>
                <w:rFonts w:eastAsia="Times New Roman" w:cs="Times New Roman"/>
                <w:sz w:val="18"/>
                <w:szCs w:val="18"/>
                <w:lang w:eastAsia="ru-RU"/>
              </w:rPr>
              <w:t>Исключение из состава объектов налогообложения по транспортному налогу воздушных судов, зарегистрированных в Государственном реестре гражданских воздушных судов</w:t>
            </w:r>
          </w:p>
        </w:tc>
        <w:tc>
          <w:tcPr>
            <w:tcW w:w="6261" w:type="dxa"/>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Aptos" w:cs="Times New Roman"/>
                <w:sz w:val="18"/>
                <w:szCs w:val="18"/>
              </w:rPr>
              <w:t>Не являются объектом налогообложения: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3 августа 2018 г. № 291-ФЗ «О специальных административных районах на территориях Калининградской области и Приморского края»</w:t>
            </w:r>
          </w:p>
        </w:tc>
        <w:tc>
          <w:tcPr>
            <w:tcW w:w="2835"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 xml:space="preserve">Налоговый кодекс Российской Федерации (в ред. от 29.09.2019 № 324-ФЗ) </w:t>
            </w:r>
            <w:r w:rsidRPr="003327BB">
              <w:rPr>
                <w:rFonts w:eastAsia="Times New Roman" w:cs="Times New Roman"/>
                <w:sz w:val="18"/>
                <w:szCs w:val="18"/>
                <w:lang w:eastAsia="ru-RU"/>
              </w:rPr>
              <w:br/>
              <w:t>ст.358/п.2/пп.12</w:t>
            </w:r>
          </w:p>
        </w:tc>
        <w:tc>
          <w:tcPr>
            <w:tcW w:w="1701" w:type="dxa"/>
            <w:shd w:val="clear" w:color="auto" w:fill="auto"/>
            <w:vAlign w:val="center"/>
          </w:tcPr>
          <w:p w:rsidR="00461E83" w:rsidRPr="003327BB" w:rsidRDefault="00461E83" w:rsidP="00461E83">
            <w:pPr>
              <w:spacing w:line="240" w:lineRule="auto"/>
              <w:jc w:val="center"/>
              <w:rPr>
                <w:rFonts w:eastAsia="Times New Roman" w:cs="Times New Roman"/>
                <w:sz w:val="18"/>
                <w:szCs w:val="18"/>
                <w:lang w:eastAsia="ru-RU"/>
              </w:rPr>
            </w:pPr>
            <w:r w:rsidRPr="003327BB">
              <w:rPr>
                <w:rFonts w:eastAsia="Times New Roman" w:cs="Times New Roman"/>
                <w:sz w:val="18"/>
                <w:szCs w:val="18"/>
                <w:lang w:eastAsia="ru-RU"/>
              </w:rPr>
              <w:t>Стимулирующая</w:t>
            </w:r>
          </w:p>
        </w:tc>
      </w:tr>
    </w:tbl>
    <w:p w:rsidR="00E071FD" w:rsidRDefault="000A4CA3" w:rsidP="00B13C69"/>
    <w:sectPr w:rsidR="00E071FD" w:rsidSect="0001597B">
      <w:headerReference w:type="default" r:id="rId7"/>
      <w:pgSz w:w="16838" w:h="11906" w:orient="landscape"/>
      <w:pgMar w:top="993" w:right="1134" w:bottom="850" w:left="1134" w:header="426"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33" w:rsidRDefault="008F0933" w:rsidP="00863B60">
      <w:pPr>
        <w:spacing w:line="240" w:lineRule="auto"/>
      </w:pPr>
      <w:r>
        <w:separator/>
      </w:r>
    </w:p>
  </w:endnote>
  <w:endnote w:type="continuationSeparator" w:id="0">
    <w:p w:rsidR="008F0933" w:rsidRDefault="008F0933" w:rsidP="00863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33" w:rsidRDefault="008F0933" w:rsidP="00863B60">
      <w:pPr>
        <w:spacing w:line="240" w:lineRule="auto"/>
      </w:pPr>
      <w:r>
        <w:separator/>
      </w:r>
    </w:p>
  </w:footnote>
  <w:footnote w:type="continuationSeparator" w:id="0">
    <w:p w:rsidR="008F0933" w:rsidRDefault="008F0933" w:rsidP="00863B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148649"/>
      <w:docPartObj>
        <w:docPartGallery w:val="Page Numbers (Top of Page)"/>
        <w:docPartUnique/>
      </w:docPartObj>
    </w:sdtPr>
    <w:sdtEndPr>
      <w:rPr>
        <w:sz w:val="24"/>
        <w:szCs w:val="24"/>
      </w:rPr>
    </w:sdtEndPr>
    <w:sdtContent>
      <w:p w:rsidR="0001597B" w:rsidRPr="000A4CA3" w:rsidRDefault="0001597B">
        <w:pPr>
          <w:pStyle w:val="a3"/>
          <w:jc w:val="center"/>
          <w:rPr>
            <w:sz w:val="24"/>
            <w:szCs w:val="24"/>
          </w:rPr>
        </w:pPr>
        <w:r w:rsidRPr="000A4CA3">
          <w:rPr>
            <w:sz w:val="24"/>
            <w:szCs w:val="24"/>
          </w:rPr>
          <w:fldChar w:fldCharType="begin"/>
        </w:r>
        <w:r w:rsidRPr="000A4CA3">
          <w:rPr>
            <w:sz w:val="24"/>
            <w:szCs w:val="24"/>
          </w:rPr>
          <w:instrText>PAGE   \* MERGEFORMAT</w:instrText>
        </w:r>
        <w:r w:rsidRPr="000A4CA3">
          <w:rPr>
            <w:sz w:val="24"/>
            <w:szCs w:val="24"/>
          </w:rPr>
          <w:fldChar w:fldCharType="separate"/>
        </w:r>
        <w:r w:rsidR="000A4CA3">
          <w:rPr>
            <w:noProof/>
            <w:sz w:val="24"/>
            <w:szCs w:val="24"/>
          </w:rPr>
          <w:t>5</w:t>
        </w:r>
        <w:r w:rsidRPr="000A4CA3">
          <w:rPr>
            <w:sz w:val="24"/>
            <w:szCs w:val="24"/>
          </w:rPr>
          <w:fldChar w:fldCharType="end"/>
        </w:r>
      </w:p>
    </w:sdtContent>
  </w:sdt>
  <w:p w:rsidR="0001597B" w:rsidRDefault="000159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83"/>
    <w:rsid w:val="0001597B"/>
    <w:rsid w:val="000A4CA3"/>
    <w:rsid w:val="00323C74"/>
    <w:rsid w:val="003327BB"/>
    <w:rsid w:val="0033543C"/>
    <w:rsid w:val="00461E83"/>
    <w:rsid w:val="00565F5C"/>
    <w:rsid w:val="00576127"/>
    <w:rsid w:val="00665CDF"/>
    <w:rsid w:val="00863B60"/>
    <w:rsid w:val="008F0933"/>
    <w:rsid w:val="00A65F6F"/>
    <w:rsid w:val="00A97CDC"/>
    <w:rsid w:val="00B13C69"/>
    <w:rsid w:val="00B6657C"/>
    <w:rsid w:val="00F00C5D"/>
    <w:rsid w:val="00F8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F9B5196-7517-45C6-9AA1-0C973AC7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43C"/>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B60"/>
    <w:pPr>
      <w:tabs>
        <w:tab w:val="center" w:pos="4677"/>
        <w:tab w:val="right" w:pos="9355"/>
      </w:tabs>
      <w:spacing w:line="240" w:lineRule="auto"/>
    </w:pPr>
  </w:style>
  <w:style w:type="character" w:customStyle="1" w:styleId="a4">
    <w:name w:val="Верхний колонтитул Знак"/>
    <w:basedOn w:val="a0"/>
    <w:link w:val="a3"/>
    <w:uiPriority w:val="99"/>
    <w:rsid w:val="00863B60"/>
    <w:rPr>
      <w:rFonts w:ascii="Times New Roman" w:hAnsi="Times New Roman"/>
      <w:sz w:val="28"/>
    </w:rPr>
  </w:style>
  <w:style w:type="paragraph" w:styleId="a5">
    <w:name w:val="footer"/>
    <w:basedOn w:val="a"/>
    <w:link w:val="a6"/>
    <w:uiPriority w:val="99"/>
    <w:unhideWhenUsed/>
    <w:rsid w:val="00863B60"/>
    <w:pPr>
      <w:tabs>
        <w:tab w:val="center" w:pos="4677"/>
        <w:tab w:val="right" w:pos="9355"/>
      </w:tabs>
      <w:spacing w:line="240" w:lineRule="auto"/>
    </w:pPr>
  </w:style>
  <w:style w:type="character" w:customStyle="1" w:styleId="a6">
    <w:name w:val="Нижний колонтитул Знак"/>
    <w:basedOn w:val="a0"/>
    <w:link w:val="a5"/>
    <w:uiPriority w:val="99"/>
    <w:rsid w:val="00863B6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D54C2780-962F-4A56-B476-E3FA8B75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Скляр Алла Павловна</cp:lastModifiedBy>
  <cp:revision>4</cp:revision>
  <cp:lastPrinted>2025-12-01T06:10:00Z</cp:lastPrinted>
  <dcterms:created xsi:type="dcterms:W3CDTF">2025-12-12T12:19:00Z</dcterms:created>
  <dcterms:modified xsi:type="dcterms:W3CDTF">2026-02-27T08:22:00Z</dcterms:modified>
</cp:coreProperties>
</file>