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375" w:rsidRPr="00516375" w:rsidRDefault="00516375" w:rsidP="00516375">
      <w:pPr>
        <w:spacing w:line="240" w:lineRule="auto"/>
        <w:jc w:val="center"/>
        <w:rPr>
          <w:rFonts w:eastAsia="DengXian Light" w:cs="Times New Roman"/>
          <w:b/>
          <w:bCs/>
          <w:szCs w:val="28"/>
        </w:rPr>
      </w:pPr>
      <w:r w:rsidRPr="00516375">
        <w:rPr>
          <w:rFonts w:eastAsia="DengXian Light" w:cs="Times New Roman"/>
          <w:b/>
          <w:bCs/>
          <w:szCs w:val="28"/>
        </w:rPr>
        <w:t>ПОЯСНИТЕЛЬНАЯ ЗАПИСКА</w:t>
      </w:r>
    </w:p>
    <w:p w:rsidR="00F07BE7" w:rsidRPr="00F07BE7" w:rsidRDefault="00516375" w:rsidP="00516375">
      <w:pPr>
        <w:spacing w:line="240" w:lineRule="auto"/>
        <w:jc w:val="center"/>
        <w:rPr>
          <w:rFonts w:eastAsia="Aptos" w:cs="Times New Roman"/>
          <w:b/>
          <w:bCs/>
          <w:szCs w:val="28"/>
        </w:rPr>
      </w:pPr>
      <w:r w:rsidRPr="00516375">
        <w:rPr>
          <w:rFonts w:eastAsia="DengXian Light" w:cs="Times New Roman"/>
          <w:b/>
          <w:bCs/>
          <w:szCs w:val="28"/>
        </w:rPr>
        <w:t>о результатах оценки эффективности налоговых расходов Российской Федерации, куратором которых определен Минтранс России</w:t>
      </w:r>
      <w:bookmarkStart w:id="0" w:name="_GoBack"/>
      <w:bookmarkEnd w:id="0"/>
    </w:p>
    <w:p w:rsidR="002813E0" w:rsidRPr="0022732B" w:rsidRDefault="002813E0" w:rsidP="002813E0">
      <w:pPr>
        <w:spacing w:line="240" w:lineRule="auto"/>
        <w:ind w:left="709"/>
        <w:rPr>
          <w:rFonts w:eastAsia="Aptos" w:cs="Times New Roman"/>
          <w:b/>
          <w:bCs/>
          <w:szCs w:val="28"/>
        </w:rPr>
      </w:pPr>
    </w:p>
    <w:p w:rsidR="008D0750" w:rsidRPr="0022732B" w:rsidRDefault="008D0750" w:rsidP="002813E0">
      <w:pPr>
        <w:spacing w:line="240" w:lineRule="auto"/>
        <w:ind w:left="709"/>
        <w:rPr>
          <w:rFonts w:eastAsia="Aptos" w:cs="Times New Roman"/>
          <w:b/>
          <w:bCs/>
          <w:szCs w:val="28"/>
        </w:rPr>
      </w:pPr>
    </w:p>
    <w:p w:rsidR="00F07BE7" w:rsidRPr="00F07BE7" w:rsidRDefault="00F07BE7" w:rsidP="002813E0">
      <w:pPr>
        <w:spacing w:line="240" w:lineRule="auto"/>
        <w:ind w:left="709"/>
        <w:rPr>
          <w:rFonts w:eastAsia="Aptos" w:cs="Times New Roman"/>
          <w:b/>
          <w:bCs/>
          <w:szCs w:val="28"/>
        </w:rPr>
      </w:pPr>
      <w:r w:rsidRPr="00F07BE7">
        <w:rPr>
          <w:rFonts w:eastAsia="Aptos" w:cs="Times New Roman"/>
          <w:b/>
          <w:bCs/>
          <w:szCs w:val="28"/>
          <w:lang w:val="en-US"/>
        </w:rPr>
        <w:t>I</w:t>
      </w:r>
      <w:r w:rsidRPr="00F07BE7">
        <w:rPr>
          <w:rFonts w:eastAsia="Aptos" w:cs="Times New Roman"/>
          <w:b/>
          <w:bCs/>
          <w:szCs w:val="28"/>
        </w:rPr>
        <w:t>.</w:t>
      </w:r>
      <w:r w:rsidRPr="00F07BE7">
        <w:rPr>
          <w:rFonts w:eastAsia="Aptos" w:cs="Times New Roman"/>
          <w:b/>
          <w:bCs/>
          <w:szCs w:val="28"/>
          <w:lang w:val="en-US"/>
        </w:rPr>
        <w:t> </w:t>
      </w:r>
      <w:r w:rsidRPr="00F07BE7">
        <w:rPr>
          <w:rFonts w:eastAsia="Aptos" w:cs="Times New Roman"/>
          <w:b/>
          <w:bCs/>
          <w:szCs w:val="28"/>
        </w:rPr>
        <w:t>Общие положения</w:t>
      </w:r>
    </w:p>
    <w:p w:rsidR="00F07BE7" w:rsidRPr="00F07BE7" w:rsidRDefault="00F07BE7" w:rsidP="002813E0">
      <w:pPr>
        <w:spacing w:line="240" w:lineRule="auto"/>
        <w:ind w:firstLine="709"/>
        <w:rPr>
          <w:rFonts w:eastAsia="Aptos" w:cs="Times New Roman"/>
          <w:szCs w:val="28"/>
        </w:rPr>
      </w:pPr>
      <w:proofErr w:type="gramStart"/>
      <w:r w:rsidRPr="00F07BE7">
        <w:rPr>
          <w:rFonts w:eastAsia="Aptos" w:cs="Times New Roman"/>
          <w:szCs w:val="28"/>
        </w:rPr>
        <w:t>Отчет о результатах оценки эффективности налоговых расходов</w:t>
      </w:r>
      <w:r w:rsidR="008D0750">
        <w:rPr>
          <w:rFonts w:eastAsia="Aptos" w:cs="Times New Roman"/>
          <w:szCs w:val="28"/>
        </w:rPr>
        <w:br/>
      </w:r>
      <w:r w:rsidRPr="00F07BE7">
        <w:rPr>
          <w:rFonts w:eastAsia="Aptos" w:cs="Times New Roman"/>
          <w:szCs w:val="28"/>
        </w:rPr>
        <w:t>Российской Федерации в 2023 году подготовлен на основании Правил формирования перечня налоговых расходов Российской Федерации и оценки налоговых расходов Российской Федерации, утвержденных постановлением Правительства Российской Федерации от 12.04.2019 № 439 (в редакции</w:t>
      </w:r>
      <w:r w:rsidR="004D1ACF">
        <w:rPr>
          <w:rFonts w:eastAsia="Aptos" w:cs="Times New Roman"/>
          <w:szCs w:val="28"/>
        </w:rPr>
        <w:br/>
      </w:r>
      <w:r w:rsidRPr="00F07BE7">
        <w:rPr>
          <w:rFonts w:eastAsia="Aptos" w:cs="Times New Roman"/>
          <w:szCs w:val="28"/>
        </w:rPr>
        <w:t>от 13.07.2024) (далее – Правила),</w:t>
      </w:r>
      <w:r w:rsidR="004D1ACF">
        <w:rPr>
          <w:rFonts w:eastAsia="Aptos" w:cs="Times New Roman"/>
          <w:szCs w:val="28"/>
        </w:rPr>
        <w:t xml:space="preserve"> </w:t>
      </w:r>
      <w:r w:rsidRPr="00F07BE7">
        <w:rPr>
          <w:rFonts w:eastAsia="Aptos" w:cs="Times New Roman"/>
          <w:szCs w:val="28"/>
        </w:rPr>
        <w:t>и в соответствии с Методикой оценки эффективности налоговых расходов Российской Федерации, куратором которых определено Министерство транспорта Российской Федерации</w:t>
      </w:r>
      <w:proofErr w:type="gramEnd"/>
      <w:r w:rsidRPr="00F07BE7">
        <w:rPr>
          <w:rFonts w:eastAsia="Aptos" w:cs="Times New Roman"/>
          <w:szCs w:val="28"/>
        </w:rPr>
        <w:t xml:space="preserve">, </w:t>
      </w:r>
      <w:proofErr w:type="gramStart"/>
      <w:r w:rsidRPr="00F07BE7">
        <w:rPr>
          <w:rFonts w:eastAsia="Aptos" w:cs="Times New Roman"/>
          <w:szCs w:val="28"/>
        </w:rPr>
        <w:t>утвержденной приказом Минтранса России от 29.12.2021</w:t>
      </w:r>
      <w:r w:rsidR="004D1ACF">
        <w:rPr>
          <w:rFonts w:eastAsia="Aptos" w:cs="Times New Roman"/>
          <w:szCs w:val="28"/>
        </w:rPr>
        <w:t xml:space="preserve"> </w:t>
      </w:r>
      <w:r w:rsidRPr="00F07BE7">
        <w:rPr>
          <w:rFonts w:eastAsia="Aptos" w:cs="Times New Roman"/>
          <w:szCs w:val="28"/>
        </w:rPr>
        <w:t>№ 474 (в редакции от 15.12.2023) (далее – Методика).</w:t>
      </w:r>
      <w:proofErr w:type="gramEnd"/>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Оценка эффективности налоговых расходов Российской Федерации – комплекс мероприятий, позволяющих сделать вывод о целесообразности</w:t>
      </w:r>
      <w:r w:rsidR="004D1ACF">
        <w:rPr>
          <w:rFonts w:eastAsia="Aptos" w:cs="Times New Roman"/>
          <w:szCs w:val="28"/>
        </w:rPr>
        <w:br/>
      </w:r>
      <w:r w:rsidRPr="00F07BE7">
        <w:rPr>
          <w:rFonts w:eastAsia="Aptos" w:cs="Times New Roman"/>
          <w:szCs w:val="28"/>
        </w:rPr>
        <w:t>и результативности предоставления плательщикам льгот, исходя из целевых характеристик налоговых расходов Российской Федерации.</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 xml:space="preserve">Оценка эффективности налоговых расходов Российской Федерации </w:t>
      </w:r>
      <w:r w:rsidR="004D1ACF">
        <w:rPr>
          <w:rFonts w:eastAsia="Aptos" w:cs="Times New Roman"/>
          <w:szCs w:val="28"/>
        </w:rPr>
        <w:br/>
      </w:r>
      <w:r w:rsidRPr="00F07BE7">
        <w:rPr>
          <w:rFonts w:eastAsia="Aptos" w:cs="Times New Roman"/>
          <w:szCs w:val="28"/>
        </w:rPr>
        <w:t>в 2023 году включает оценку целесообразности и оценку результативности налоговых расходов Российской Федерации.</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Критериями целесообразности налоговых расходов Российской Федерации являются:</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соответствие налоговых расходов Российской Федерации целям государственной программы Российской Федерации «Развитие транспортной системы» (далее – Программа), структурным элементам;</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востребованность плательщиками предоставленных льгот.</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Оценка результативности налоговых расходов Российской Федерации включает:</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оценку вклада предусмотренных для плательщиков льгот в изменение значения показателя (индикатора) достижения целей Программы, которая рассчитывается</w:t>
      </w:r>
      <w:r w:rsidR="00F97621">
        <w:rPr>
          <w:rFonts w:eastAsia="Aptos" w:cs="Times New Roman"/>
          <w:szCs w:val="28"/>
        </w:rPr>
        <w:br/>
      </w:r>
      <w:r w:rsidRPr="00F07BE7">
        <w:rPr>
          <w:rFonts w:eastAsia="Aptos" w:cs="Times New Roman"/>
          <w:szCs w:val="28"/>
        </w:rPr>
        <w:t>как разница между значением указанного показателя (индикатора) с учетом льгот</w:t>
      </w:r>
      <w:r w:rsidR="00F97621">
        <w:rPr>
          <w:rFonts w:eastAsia="Aptos" w:cs="Times New Roman"/>
          <w:szCs w:val="28"/>
        </w:rPr>
        <w:br/>
      </w:r>
      <w:r w:rsidRPr="00F07BE7">
        <w:rPr>
          <w:rFonts w:eastAsia="Aptos" w:cs="Times New Roman"/>
          <w:szCs w:val="28"/>
        </w:rPr>
        <w:t>и его значением</w:t>
      </w:r>
      <w:r w:rsidR="00F97621">
        <w:rPr>
          <w:rFonts w:eastAsia="Aptos" w:cs="Times New Roman"/>
          <w:szCs w:val="28"/>
        </w:rPr>
        <w:t xml:space="preserve"> </w:t>
      </w:r>
      <w:r w:rsidRPr="00F07BE7">
        <w:rPr>
          <w:rFonts w:eastAsia="Aptos" w:cs="Times New Roman"/>
          <w:szCs w:val="28"/>
        </w:rPr>
        <w:t>без учета льгот;</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оценку бюджетной эффективности на основании сравнительного анализа результативности предоставления льгот и результативности применения альтернативных механизмов достижения целей Программы;</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оценку совокупного бюджетного эффекта (самоокупаемости) налогового расхода (в отношении стимулирующих налоговых расходов).</w:t>
      </w:r>
    </w:p>
    <w:p w:rsidR="00F07BE7" w:rsidRPr="00F07BE7" w:rsidRDefault="00F07BE7" w:rsidP="002813E0">
      <w:pPr>
        <w:spacing w:line="240" w:lineRule="auto"/>
        <w:ind w:firstLine="709"/>
        <w:rPr>
          <w:rFonts w:eastAsia="Aptos" w:cs="Times New Roman"/>
          <w:b/>
          <w:bCs/>
          <w:szCs w:val="28"/>
        </w:rPr>
      </w:pPr>
      <w:r w:rsidRPr="00F07BE7">
        <w:rPr>
          <w:rFonts w:eastAsia="Aptos" w:cs="Times New Roman"/>
          <w:b/>
          <w:bCs/>
          <w:szCs w:val="28"/>
          <w:lang w:val="en-US"/>
        </w:rPr>
        <w:t>II</w:t>
      </w:r>
      <w:r w:rsidRPr="00F07BE7">
        <w:rPr>
          <w:rFonts w:eastAsia="Aptos" w:cs="Times New Roman"/>
          <w:b/>
          <w:bCs/>
          <w:szCs w:val="28"/>
        </w:rPr>
        <w:t>. Общая характеристика налоговых расходов в 2023 году</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Перечень налоговых расходов, куратором по которым определен Минтранс России, включает 24 налоговых расхода Российской Федерации. Перечень налоговых расходов в 2023 году сформирован Минфином России по согласованию</w:t>
      </w:r>
      <w:r w:rsidR="002813E0">
        <w:rPr>
          <w:rFonts w:eastAsia="Aptos" w:cs="Times New Roman"/>
          <w:szCs w:val="28"/>
        </w:rPr>
        <w:br/>
      </w:r>
      <w:r w:rsidRPr="00F07BE7">
        <w:rPr>
          <w:rFonts w:eastAsia="Aptos" w:cs="Times New Roman"/>
          <w:szCs w:val="28"/>
        </w:rPr>
        <w:lastRenderedPageBreak/>
        <w:t xml:space="preserve">с Минтрансом России и включает сведения о соответствии налоговых расходов Российской Федерации целям Программы, ее структурным элементам. </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По целевой категории налоговые расходы делятся на 3 группы: социальные, стимулирующие, технические. Из 24 налоговых расходов к социальным налоговым расходам относятся 8 налоговых расходов, стимулирующим – 13, техническим –</w:t>
      </w:r>
      <w:r w:rsidR="002813E0">
        <w:rPr>
          <w:rFonts w:eastAsia="Aptos" w:cs="Times New Roman"/>
          <w:szCs w:val="28"/>
        </w:rPr>
        <w:br/>
      </w:r>
      <w:r w:rsidRPr="00F07BE7">
        <w:rPr>
          <w:rFonts w:eastAsia="Aptos" w:cs="Times New Roman"/>
          <w:szCs w:val="28"/>
        </w:rPr>
        <w:t>3 налоговых расхода. Перечень налоговых расходов Российской Федерации, куратором по которым установлен Минтранс России, представлен в приложении № 1.</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Сведения о нормативных, фискальных и целевых характеристиках налоговых расходов Российской Федерации, куратором которых является Минтранс России, представлены в паспортах налоговых расходов (приложение № 2).</w:t>
      </w:r>
    </w:p>
    <w:p w:rsidR="00F07BE7" w:rsidRPr="00F07BE7" w:rsidRDefault="00F07BE7" w:rsidP="002813E0">
      <w:pPr>
        <w:spacing w:line="240" w:lineRule="auto"/>
        <w:ind w:firstLine="709"/>
        <w:rPr>
          <w:rFonts w:eastAsia="Aptos" w:cs="Times New Roman"/>
          <w:b/>
          <w:bCs/>
          <w:szCs w:val="28"/>
        </w:rPr>
      </w:pPr>
      <w:r w:rsidRPr="00F07BE7">
        <w:rPr>
          <w:rFonts w:eastAsia="Aptos" w:cs="Times New Roman"/>
          <w:b/>
          <w:bCs/>
          <w:szCs w:val="28"/>
          <w:lang w:val="en-US"/>
        </w:rPr>
        <w:t>III</w:t>
      </w:r>
      <w:r w:rsidRPr="00F07BE7">
        <w:rPr>
          <w:rFonts w:eastAsia="Aptos" w:cs="Times New Roman"/>
          <w:b/>
          <w:bCs/>
          <w:szCs w:val="28"/>
        </w:rPr>
        <w:t>. Результаты оценки эффективности налоговых расходов</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Оценка эффективности выполнена по каждому налоговому расходу</w:t>
      </w:r>
      <w:r w:rsidR="002813E0">
        <w:rPr>
          <w:rFonts w:eastAsia="Aptos" w:cs="Times New Roman"/>
          <w:szCs w:val="28"/>
        </w:rPr>
        <w:br/>
      </w:r>
      <w:r w:rsidRPr="00F07BE7">
        <w:rPr>
          <w:rFonts w:eastAsia="Aptos" w:cs="Times New Roman"/>
          <w:szCs w:val="28"/>
        </w:rPr>
        <w:t>и представлена в приложении № 3.</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По итогам оценки эффективности налогового расхода Российской Федерации сформированы выводы и рекомендации о необходимости сохранения всех предоставленных плательщикам льгот.</w:t>
      </w:r>
    </w:p>
    <w:p w:rsidR="00F07BE7" w:rsidRPr="00F07BE7" w:rsidRDefault="00F07BE7" w:rsidP="002813E0">
      <w:pPr>
        <w:spacing w:line="240" w:lineRule="auto"/>
        <w:ind w:firstLine="709"/>
        <w:rPr>
          <w:rFonts w:eastAsia="Aptos" w:cs="Times New Roman"/>
          <w:b/>
          <w:bCs/>
          <w:szCs w:val="28"/>
        </w:rPr>
      </w:pPr>
      <w:r w:rsidRPr="00F07BE7">
        <w:rPr>
          <w:rFonts w:eastAsia="Aptos" w:cs="Times New Roman"/>
          <w:b/>
          <w:bCs/>
          <w:szCs w:val="28"/>
        </w:rPr>
        <w:t>А. Оценка целесообразности налоговых расходов Российской Федерации</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 xml:space="preserve">Все налоговые расходы Российской Федерации, включенные в перечень налоговых расходов в 2023 году, куратором которых определен Минтранс России, соответствуют целям Программы. </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Все налоговые льготы, по которым ФНС России представлены сведения</w:t>
      </w:r>
      <w:r w:rsidR="002813E0">
        <w:rPr>
          <w:rFonts w:eastAsia="Aptos" w:cs="Times New Roman"/>
          <w:szCs w:val="28"/>
        </w:rPr>
        <w:br/>
      </w:r>
      <w:r w:rsidRPr="00F07BE7">
        <w:rPr>
          <w:rFonts w:eastAsia="Aptos" w:cs="Times New Roman"/>
          <w:szCs w:val="28"/>
        </w:rPr>
        <w:t>о численности плательщиков налогов, сборов, таможенных платежей и страховых взносов на обязательное социальное страхование, воспользовавшихся правом</w:t>
      </w:r>
      <w:r w:rsidR="002813E0">
        <w:rPr>
          <w:rFonts w:eastAsia="Aptos" w:cs="Times New Roman"/>
          <w:szCs w:val="28"/>
        </w:rPr>
        <w:br/>
      </w:r>
      <w:r w:rsidRPr="00F07BE7">
        <w:rPr>
          <w:rFonts w:eastAsia="Aptos" w:cs="Times New Roman"/>
          <w:szCs w:val="28"/>
        </w:rPr>
        <w:t>на получение налоговых льгот, освобождений и иных преференций, являются востребованными.</w:t>
      </w:r>
    </w:p>
    <w:p w:rsidR="00F07BE7" w:rsidRPr="00F07BE7" w:rsidRDefault="00F07BE7" w:rsidP="002813E0">
      <w:pPr>
        <w:spacing w:line="240" w:lineRule="auto"/>
        <w:ind w:firstLine="709"/>
        <w:rPr>
          <w:rFonts w:eastAsia="Aptos" w:cs="Times New Roman"/>
          <w:b/>
          <w:bCs/>
          <w:szCs w:val="28"/>
        </w:rPr>
      </w:pPr>
      <w:r w:rsidRPr="00F07BE7">
        <w:rPr>
          <w:rFonts w:eastAsia="Aptos" w:cs="Times New Roman"/>
          <w:b/>
          <w:bCs/>
          <w:szCs w:val="28"/>
        </w:rPr>
        <w:t>Б. Оценка результативности налоговых расходов Российской Федерации</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Все налоговые расходы в 2023 году оказывали влияние на достижение целевых индикаторов Программы, показателей ее структурных элементов. Расчет оценки вклада налоговой льготы в изменение значений целевых показателей Программы</w:t>
      </w:r>
      <w:r w:rsidRPr="00F07BE7">
        <w:rPr>
          <w:rFonts w:eastAsia="Aptos" w:cs="Times New Roman"/>
          <w:b/>
          <w:bCs/>
          <w:szCs w:val="28"/>
        </w:rPr>
        <w:t xml:space="preserve"> </w:t>
      </w:r>
      <w:r w:rsidRPr="00F07BE7">
        <w:rPr>
          <w:rFonts w:eastAsia="Aptos" w:cs="Times New Roman"/>
          <w:szCs w:val="28"/>
        </w:rPr>
        <w:t>представлен в приложении № 4.</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Для оценки бюджетной эффективности налоговых расходов Российской Федерации был выполнен сравнительный анализ результативности предоставления льгот и результативности применения альтернативных механизмов достижения целей Программы, ее структурных элементов. Фискальные характеристики</w:t>
      </w:r>
      <w:r w:rsidR="008D0750">
        <w:rPr>
          <w:rFonts w:eastAsia="Aptos" w:cs="Times New Roman"/>
          <w:szCs w:val="28"/>
        </w:rPr>
        <w:br/>
      </w:r>
      <w:r w:rsidRPr="00F07BE7">
        <w:rPr>
          <w:rFonts w:eastAsia="Aptos" w:cs="Times New Roman"/>
          <w:szCs w:val="28"/>
        </w:rPr>
        <w:t>не представлены по следующим налоговым расходам:</w:t>
      </w:r>
    </w:p>
    <w:p w:rsidR="00F07BE7" w:rsidRPr="00F07BE7" w:rsidRDefault="00F07BE7" w:rsidP="002813E0">
      <w:pPr>
        <w:numPr>
          <w:ilvl w:val="0"/>
          <w:numId w:val="1"/>
        </w:numPr>
        <w:tabs>
          <w:tab w:val="left" w:pos="993"/>
        </w:tabs>
        <w:spacing w:line="240" w:lineRule="auto"/>
        <w:ind w:firstLine="709"/>
        <w:rPr>
          <w:rFonts w:eastAsia="Aptos" w:cs="Times New Roman"/>
          <w:szCs w:val="28"/>
        </w:rPr>
      </w:pPr>
      <w:r w:rsidRPr="00F07BE7">
        <w:rPr>
          <w:rFonts w:eastAsia="Aptos" w:cs="Times New Roman"/>
          <w:szCs w:val="28"/>
        </w:rPr>
        <w:t>Освобождение от уплаты ввозной таможенной пошлины гражданских пассажирских самолетов (стимулирующая);</w:t>
      </w:r>
    </w:p>
    <w:p w:rsidR="00F07BE7" w:rsidRPr="00F07BE7" w:rsidRDefault="00F07BE7" w:rsidP="002813E0">
      <w:pPr>
        <w:numPr>
          <w:ilvl w:val="0"/>
          <w:numId w:val="1"/>
        </w:numPr>
        <w:tabs>
          <w:tab w:val="left" w:pos="993"/>
        </w:tabs>
        <w:spacing w:line="240" w:lineRule="auto"/>
        <w:ind w:firstLine="709"/>
        <w:rPr>
          <w:rFonts w:eastAsia="Aptos" w:cs="Times New Roman"/>
          <w:szCs w:val="28"/>
        </w:rPr>
      </w:pPr>
      <w:r w:rsidRPr="00F07BE7">
        <w:rPr>
          <w:rFonts w:eastAsia="Aptos" w:cs="Times New Roman"/>
          <w:szCs w:val="28"/>
        </w:rPr>
        <w:t>Исключение из состава объектов налогообложения по налогу на имущество организаций воздушных судов, зарегистрированных в Государственном реестре гражданских воздушных судов (стимулирующая);</w:t>
      </w:r>
    </w:p>
    <w:p w:rsidR="00F07BE7" w:rsidRPr="00F07BE7" w:rsidRDefault="00F07BE7" w:rsidP="002813E0">
      <w:pPr>
        <w:numPr>
          <w:ilvl w:val="0"/>
          <w:numId w:val="1"/>
        </w:numPr>
        <w:tabs>
          <w:tab w:val="left" w:pos="993"/>
        </w:tabs>
        <w:spacing w:line="240" w:lineRule="auto"/>
        <w:ind w:firstLine="709"/>
        <w:rPr>
          <w:rFonts w:eastAsia="Aptos" w:cs="Times New Roman"/>
          <w:szCs w:val="28"/>
        </w:rPr>
      </w:pPr>
      <w:r w:rsidRPr="00F07BE7">
        <w:rPr>
          <w:rFonts w:eastAsia="Aptos" w:cs="Times New Roman"/>
          <w:szCs w:val="28"/>
        </w:rPr>
        <w:t>Исключение из состава объектов налогообложения по транспортному налогу воздушных судов, зарегистрированных в Государственном реестре гражданских воздушных судов (стимулирующая);</w:t>
      </w:r>
    </w:p>
    <w:p w:rsidR="00F07BE7" w:rsidRPr="00F07BE7" w:rsidRDefault="00F07BE7" w:rsidP="002813E0">
      <w:pPr>
        <w:numPr>
          <w:ilvl w:val="0"/>
          <w:numId w:val="1"/>
        </w:numPr>
        <w:tabs>
          <w:tab w:val="left" w:pos="993"/>
        </w:tabs>
        <w:spacing w:line="240" w:lineRule="auto"/>
        <w:ind w:firstLine="709"/>
        <w:rPr>
          <w:rFonts w:eastAsia="Aptos" w:cs="Times New Roman"/>
          <w:szCs w:val="28"/>
        </w:rPr>
      </w:pPr>
      <w:r w:rsidRPr="00F07BE7">
        <w:rPr>
          <w:rFonts w:eastAsia="Aptos" w:cs="Times New Roman"/>
          <w:szCs w:val="28"/>
        </w:rPr>
        <w:lastRenderedPageBreak/>
        <w:t>Освобождение от уплаты ввозной таможенной пошлины при ввозе турбовинтовых гражданских пассажирских самолетов (стимулирующая);</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 xml:space="preserve">В качестве альтернативных механизмов для налоговых расходов были рассмотрены субсидии и (или) иные формы непосредственной финансовой поддержки за счет средств федерального бюджета. </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Расчет бюджетной эффективности налоговых расходов представлен</w:t>
      </w:r>
      <w:r w:rsidR="008D0750">
        <w:rPr>
          <w:rFonts w:eastAsia="Aptos" w:cs="Times New Roman"/>
          <w:szCs w:val="28"/>
        </w:rPr>
        <w:br/>
      </w:r>
      <w:r w:rsidRPr="00F07BE7">
        <w:rPr>
          <w:rFonts w:eastAsia="Aptos" w:cs="Times New Roman"/>
          <w:szCs w:val="28"/>
        </w:rPr>
        <w:t>в приложении № 5.</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В отношении стимулирующих налоговых расходов рассчитан совокупный бюджетный эффект (самоокупаемость). Расчет совокупн</w:t>
      </w:r>
      <w:r w:rsidR="00C537D4">
        <w:rPr>
          <w:rFonts w:eastAsia="Aptos" w:cs="Times New Roman"/>
          <w:szCs w:val="28"/>
        </w:rPr>
        <w:t xml:space="preserve">ого </w:t>
      </w:r>
      <w:r w:rsidRPr="00F07BE7">
        <w:rPr>
          <w:rFonts w:eastAsia="Aptos" w:cs="Times New Roman"/>
          <w:szCs w:val="28"/>
        </w:rPr>
        <w:t>бюджетн</w:t>
      </w:r>
      <w:r w:rsidR="00C537D4">
        <w:rPr>
          <w:rFonts w:eastAsia="Aptos" w:cs="Times New Roman"/>
          <w:szCs w:val="28"/>
        </w:rPr>
        <w:t>ого</w:t>
      </w:r>
      <w:r w:rsidRPr="00F07BE7">
        <w:rPr>
          <w:rFonts w:eastAsia="Aptos" w:cs="Times New Roman"/>
          <w:szCs w:val="28"/>
        </w:rPr>
        <w:t xml:space="preserve"> эффект</w:t>
      </w:r>
      <w:r w:rsidR="00C537D4">
        <w:rPr>
          <w:rFonts w:eastAsia="Aptos" w:cs="Times New Roman"/>
          <w:szCs w:val="28"/>
        </w:rPr>
        <w:t>а</w:t>
      </w:r>
      <w:r w:rsidRPr="00F07BE7">
        <w:rPr>
          <w:rFonts w:eastAsia="Aptos" w:cs="Times New Roman"/>
          <w:szCs w:val="28"/>
        </w:rPr>
        <w:t xml:space="preserve"> стимулирующих налоговых расходов представлен</w:t>
      </w:r>
      <w:r w:rsidR="008D0750">
        <w:rPr>
          <w:rFonts w:eastAsia="Aptos" w:cs="Times New Roman"/>
          <w:szCs w:val="28"/>
        </w:rPr>
        <w:t xml:space="preserve"> </w:t>
      </w:r>
      <w:r w:rsidRPr="00F07BE7">
        <w:rPr>
          <w:rFonts w:eastAsia="Aptos" w:cs="Times New Roman"/>
          <w:szCs w:val="28"/>
        </w:rPr>
        <w:t>в приложении № 6.</w:t>
      </w:r>
    </w:p>
    <w:p w:rsidR="00F07BE7" w:rsidRPr="00F07BE7" w:rsidRDefault="00F07BE7" w:rsidP="002813E0">
      <w:pPr>
        <w:spacing w:line="240" w:lineRule="auto"/>
        <w:ind w:firstLine="709"/>
        <w:rPr>
          <w:rFonts w:eastAsia="Aptos" w:cs="Times New Roman"/>
          <w:b/>
          <w:bCs/>
          <w:szCs w:val="28"/>
        </w:rPr>
      </w:pPr>
      <w:r w:rsidRPr="00F07BE7">
        <w:rPr>
          <w:rFonts w:eastAsia="Aptos" w:cs="Times New Roman"/>
          <w:b/>
          <w:bCs/>
          <w:szCs w:val="28"/>
          <w:lang w:val="en-US"/>
        </w:rPr>
        <w:t>IV</w:t>
      </w:r>
      <w:r w:rsidRPr="00F07BE7">
        <w:rPr>
          <w:rFonts w:eastAsia="Aptos" w:cs="Times New Roman"/>
          <w:b/>
          <w:bCs/>
          <w:szCs w:val="28"/>
        </w:rPr>
        <w:t>. Выводы и рекомендации</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А.</w:t>
      </w:r>
      <w:r w:rsidRPr="00F07BE7">
        <w:rPr>
          <w:rFonts w:eastAsia="Aptos" w:cs="Times New Roman"/>
          <w:szCs w:val="28"/>
        </w:rPr>
        <w:tab/>
        <w:t>Социальные налоговые расходы.</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Из 8 социальных налоговых расходов всем критериям эффективности соответствует 8 налоговы</w:t>
      </w:r>
      <w:r w:rsidR="00C537D4">
        <w:rPr>
          <w:rFonts w:eastAsia="Aptos" w:cs="Times New Roman"/>
          <w:szCs w:val="28"/>
        </w:rPr>
        <w:t>х</w:t>
      </w:r>
      <w:r w:rsidRPr="00F07BE7">
        <w:rPr>
          <w:rFonts w:eastAsia="Aptos" w:cs="Times New Roman"/>
          <w:szCs w:val="28"/>
        </w:rPr>
        <w:t xml:space="preserve"> расход</w:t>
      </w:r>
      <w:r w:rsidR="00C537D4">
        <w:rPr>
          <w:rFonts w:eastAsia="Aptos" w:cs="Times New Roman"/>
          <w:szCs w:val="28"/>
        </w:rPr>
        <w:t>ов</w:t>
      </w:r>
      <w:r w:rsidRPr="00F07BE7">
        <w:rPr>
          <w:rFonts w:eastAsia="Aptos" w:cs="Times New Roman"/>
          <w:szCs w:val="28"/>
        </w:rPr>
        <w:t>.</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Все 8 социальных налоговых расходов соответствуют критерию бюджетной эффективности налоговых расходов, так как альтернативные механизмы достижения результатов по расчетам соответствуют эффективности налоговых льгот. Необходимо учитывать, что применение социальных налоговых расходов не только способствует ценовой доступности услуг по перевозке пассажиров и влияет</w:t>
      </w:r>
      <w:r w:rsidR="008D0750">
        <w:rPr>
          <w:rFonts w:eastAsia="Aptos" w:cs="Times New Roman"/>
          <w:szCs w:val="28"/>
        </w:rPr>
        <w:br/>
      </w:r>
      <w:r w:rsidRPr="00F07BE7">
        <w:rPr>
          <w:rFonts w:eastAsia="Aptos" w:cs="Times New Roman"/>
          <w:szCs w:val="28"/>
        </w:rPr>
        <w:t>на целевые индикаторы Программы, но и оказывает влияние на стабилизацию финансового состояния и повышение инвестиционной активности организаций, осуществляющих перевозки пассажиров на автомобильном, городском электрическом, железнодорожном и воздушном транспорте.</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Налоговый расход «Пониженная ставка НДС на услуги по перевозке пассажиров железнодорожным транспортом в пригородном сообщении» предусматривает налоговую ставку 0 процентов при реализации услуг</w:t>
      </w:r>
      <w:r w:rsidR="00C537D4">
        <w:rPr>
          <w:rFonts w:eastAsia="Aptos" w:cs="Times New Roman"/>
          <w:szCs w:val="28"/>
        </w:rPr>
        <w:br/>
      </w:r>
      <w:r w:rsidRPr="00F07BE7">
        <w:rPr>
          <w:rFonts w:eastAsia="Aptos" w:cs="Times New Roman"/>
          <w:szCs w:val="28"/>
        </w:rPr>
        <w:t xml:space="preserve">по перевозке пассажиров железнодорожным транспортом в пригородном сообщении. Налоговая льгота непосредственно влияет на доступность качественных транспортных услуг населению и целевой </w:t>
      </w:r>
      <w:r w:rsidR="00C537D4">
        <w:rPr>
          <w:rFonts w:eastAsia="Aptos" w:cs="Times New Roman"/>
          <w:szCs w:val="28"/>
        </w:rPr>
        <w:t xml:space="preserve">показатель </w:t>
      </w:r>
      <w:r w:rsidRPr="00F07BE7">
        <w:rPr>
          <w:rFonts w:eastAsia="Aptos" w:cs="Times New Roman"/>
          <w:szCs w:val="28"/>
        </w:rPr>
        <w:t>«Транспортная подвижность населения». Кроме того, при установлении ставки НДС в размере 0 процентов</w:t>
      </w:r>
      <w:r w:rsidR="008D0750">
        <w:rPr>
          <w:rFonts w:eastAsia="Aptos" w:cs="Times New Roman"/>
          <w:szCs w:val="28"/>
        </w:rPr>
        <w:br/>
      </w:r>
      <w:r w:rsidRPr="00F07BE7">
        <w:rPr>
          <w:rFonts w:eastAsia="Aptos" w:cs="Times New Roman"/>
          <w:szCs w:val="28"/>
        </w:rPr>
        <w:t>на услуги по пассажирским перевозкам, пригородные пассажирские компании получают право на вычет предъявленных поставщиками и подрядчиками</w:t>
      </w:r>
      <w:r w:rsidR="008D0750">
        <w:rPr>
          <w:rFonts w:eastAsia="Aptos" w:cs="Times New Roman"/>
          <w:szCs w:val="28"/>
        </w:rPr>
        <w:br/>
      </w:r>
      <w:r w:rsidRPr="00F07BE7">
        <w:rPr>
          <w:rFonts w:eastAsia="Aptos" w:cs="Times New Roman"/>
          <w:szCs w:val="28"/>
        </w:rPr>
        <w:t>и перечисленных</w:t>
      </w:r>
      <w:r w:rsidR="008D0750">
        <w:rPr>
          <w:rFonts w:eastAsia="Aptos" w:cs="Times New Roman"/>
          <w:szCs w:val="28"/>
        </w:rPr>
        <w:t xml:space="preserve"> </w:t>
      </w:r>
      <w:r w:rsidRPr="00F07BE7">
        <w:rPr>
          <w:rFonts w:eastAsia="Aptos" w:cs="Times New Roman"/>
          <w:szCs w:val="28"/>
        </w:rPr>
        <w:t xml:space="preserve">ими в федеральный бюджет сумм НДС, что позволяет снизить себестоимость перевозок, обеспечить финансовую стабильность и инвестиционную активность организаций, осуществляющих пригородные пассажирские перевозки. </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Налоговый расход «Пониженная ставка НДС на услуги по перевозке пассажиров железнодорожным транспортом общего пользования в дальнем сообщении» предусматривает налоговую ставку 0 процентов при реализации услуг по перевозке пассажиров железнодорожным транспортом в дальнем сообщении</w:t>
      </w:r>
      <w:r w:rsidR="008D0750">
        <w:rPr>
          <w:rFonts w:eastAsia="Aptos" w:cs="Times New Roman"/>
          <w:szCs w:val="28"/>
        </w:rPr>
        <w:br/>
      </w:r>
      <w:r w:rsidRPr="00F07BE7">
        <w:rPr>
          <w:rFonts w:eastAsia="Aptos" w:cs="Times New Roman"/>
          <w:szCs w:val="28"/>
        </w:rPr>
        <w:t>в регулируемом секторе. Налоговый расход непосредственно влияет на доступность качественных транспортных услуг населению</w:t>
      </w:r>
      <w:r w:rsidR="008D0750">
        <w:rPr>
          <w:rFonts w:eastAsia="Aptos" w:cs="Times New Roman"/>
          <w:szCs w:val="28"/>
        </w:rPr>
        <w:t xml:space="preserve"> </w:t>
      </w:r>
      <w:r w:rsidRPr="00F07BE7">
        <w:rPr>
          <w:rFonts w:eastAsia="Aptos" w:cs="Times New Roman"/>
          <w:szCs w:val="28"/>
        </w:rPr>
        <w:t xml:space="preserve">и целевой </w:t>
      </w:r>
      <w:r w:rsidR="00C537D4">
        <w:rPr>
          <w:rFonts w:eastAsia="Aptos" w:cs="Times New Roman"/>
          <w:szCs w:val="28"/>
        </w:rPr>
        <w:t>показатель</w:t>
      </w:r>
      <w:r w:rsidRPr="00F07BE7">
        <w:rPr>
          <w:rFonts w:eastAsia="Aptos" w:cs="Times New Roman"/>
          <w:szCs w:val="28"/>
        </w:rPr>
        <w:t xml:space="preserve"> «Транспортная подвижность населения». </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Более того, при установлении ставки НДС в размере 0 процентов на услуги</w:t>
      </w:r>
      <w:r w:rsidR="008D0750">
        <w:rPr>
          <w:rFonts w:eastAsia="Aptos" w:cs="Times New Roman"/>
          <w:szCs w:val="28"/>
        </w:rPr>
        <w:br/>
      </w:r>
      <w:r w:rsidRPr="00F07BE7">
        <w:rPr>
          <w:rFonts w:eastAsia="Aptos" w:cs="Times New Roman"/>
          <w:szCs w:val="28"/>
        </w:rPr>
        <w:t xml:space="preserve">по пассажирским перевозкам в дальнем следовании, пассажирская компания получит право на вычет предъявленных поставщиками и подрядчиками и </w:t>
      </w:r>
      <w:r w:rsidRPr="00F07BE7">
        <w:rPr>
          <w:rFonts w:eastAsia="Aptos" w:cs="Times New Roman"/>
          <w:szCs w:val="28"/>
        </w:rPr>
        <w:lastRenderedPageBreak/>
        <w:t>перечисленных</w:t>
      </w:r>
      <w:r w:rsidR="008D0750">
        <w:rPr>
          <w:rFonts w:eastAsia="Aptos" w:cs="Times New Roman"/>
          <w:szCs w:val="28"/>
        </w:rPr>
        <w:br/>
      </w:r>
      <w:r w:rsidRPr="00F07BE7">
        <w:rPr>
          <w:rFonts w:eastAsia="Aptos" w:cs="Times New Roman"/>
          <w:szCs w:val="28"/>
        </w:rPr>
        <w:t>ими в федеральный бюджет сумм НДС, что позволяет снизить себестоимость перевозок, обеспечить финансовую стабильность компании и увеличить инвестиции в обновление вагонного парка.</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Налоговые расходы «Пониженная ставка НДС на услуги по внутренним воздушным перевозкам пассажиров и багажа в (из) Калининградской области / Дальневосточного федерального округа» и «Пониженная ставка НДС на услуги</w:t>
      </w:r>
      <w:r w:rsidR="008D0750">
        <w:rPr>
          <w:rFonts w:eastAsia="Aptos" w:cs="Times New Roman"/>
          <w:szCs w:val="28"/>
        </w:rPr>
        <w:br/>
      </w:r>
      <w:r w:rsidRPr="00F07BE7">
        <w:rPr>
          <w:rFonts w:eastAsia="Aptos" w:cs="Times New Roman"/>
          <w:szCs w:val="28"/>
        </w:rPr>
        <w:t>по внутренним воздушным перевозкам пассажиров и багажа в (из) Республику Крым и г. Севастополь», «Пониженная ставка НДС на услуги по внутренним воздушным перевозкам пассажиров и багажа вне территории Московской области</w:t>
      </w:r>
      <w:r w:rsidR="004D1ACF">
        <w:rPr>
          <w:rFonts w:eastAsia="Aptos" w:cs="Times New Roman"/>
          <w:szCs w:val="28"/>
        </w:rPr>
        <w:br/>
      </w:r>
      <w:r w:rsidRPr="00F07BE7">
        <w:rPr>
          <w:rFonts w:eastAsia="Aptos" w:cs="Times New Roman"/>
          <w:szCs w:val="28"/>
        </w:rPr>
        <w:t xml:space="preserve">и территории г. Москвы», «Пониженная ставка НДС на услуги по внутренним воздушным перевозкам пассажиров и багажа» эффективны, так как для достижения результата Программы в виде влияния на </w:t>
      </w:r>
      <w:r w:rsidR="00C537D4">
        <w:rPr>
          <w:rFonts w:eastAsia="Aptos" w:cs="Times New Roman"/>
          <w:szCs w:val="28"/>
        </w:rPr>
        <w:t xml:space="preserve">целевой </w:t>
      </w:r>
      <w:r w:rsidRPr="00F07BE7">
        <w:rPr>
          <w:rFonts w:eastAsia="Aptos" w:cs="Times New Roman"/>
          <w:szCs w:val="28"/>
        </w:rPr>
        <w:t xml:space="preserve">показатель «Транспортная подвижность населения» требуются субсидии из федерального бюджета на уровне налоговых льгот. </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 xml:space="preserve">При приятии решения о сохранении налоговых льгот необходимо учитывать, что влияние налоговых льгот значительно шире, так как обеспечивает стабилизацию финансового состояния авиакомпаний и повышение инвестиционной активности организаций. </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Б.</w:t>
      </w:r>
      <w:r w:rsidRPr="00F07BE7">
        <w:rPr>
          <w:rFonts w:eastAsia="Aptos" w:cs="Times New Roman"/>
          <w:szCs w:val="28"/>
        </w:rPr>
        <w:tab/>
        <w:t>Стимулирующие налоговые расходы.</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Совокупный бюджетный эффект формируется за пять отчетных лет как разница между налоговыми поступлениями от данных плательщиков и расчетным объемом налоговых поступлений в случае отмены льготы. Эффект формируется за счет экономии, образовавшейся в результате применения освобождения от уплаты ввозных таможенных пошлин, и является дополнительным источником сре</w:t>
      </w:r>
      <w:proofErr w:type="gramStart"/>
      <w:r w:rsidRPr="00F07BE7">
        <w:rPr>
          <w:rFonts w:eastAsia="Aptos" w:cs="Times New Roman"/>
          <w:szCs w:val="28"/>
        </w:rPr>
        <w:t>дств</w:t>
      </w:r>
      <w:r w:rsidR="008D0750">
        <w:rPr>
          <w:rFonts w:eastAsia="Aptos" w:cs="Times New Roman"/>
          <w:szCs w:val="28"/>
        </w:rPr>
        <w:br/>
      </w:r>
      <w:r w:rsidRPr="00F07BE7">
        <w:rPr>
          <w:rFonts w:eastAsia="Aptos" w:cs="Times New Roman"/>
          <w:szCs w:val="28"/>
        </w:rPr>
        <w:t>дл</w:t>
      </w:r>
      <w:proofErr w:type="gramEnd"/>
      <w:r w:rsidRPr="00F07BE7">
        <w:rPr>
          <w:rFonts w:eastAsia="Aptos" w:cs="Times New Roman"/>
          <w:szCs w:val="28"/>
        </w:rPr>
        <w:t>я финансирования текущей и инвестиционной деятельности организаций,</w:t>
      </w:r>
      <w:r w:rsidR="008D0750">
        <w:rPr>
          <w:rFonts w:eastAsia="Aptos" w:cs="Times New Roman"/>
          <w:szCs w:val="28"/>
        </w:rPr>
        <w:br/>
      </w:r>
      <w:r w:rsidRPr="00F07BE7">
        <w:rPr>
          <w:rFonts w:eastAsia="Aptos" w:cs="Times New Roman"/>
          <w:szCs w:val="28"/>
        </w:rPr>
        <w:t>в том числе для программ обновления подвижного состава.</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 xml:space="preserve">По </w:t>
      </w:r>
      <w:r w:rsidR="0022732B">
        <w:rPr>
          <w:rFonts w:eastAsia="Aptos" w:cs="Times New Roman"/>
          <w:szCs w:val="28"/>
        </w:rPr>
        <w:t>6</w:t>
      </w:r>
      <w:r w:rsidRPr="00F07BE7">
        <w:rPr>
          <w:rFonts w:eastAsia="Aptos" w:cs="Times New Roman"/>
          <w:szCs w:val="28"/>
        </w:rPr>
        <w:t xml:space="preserve"> стимулирующим налоговым расходам получена отрицательная оценка совокупного бюджетного эффекта. При этом налоговые расходы оказывают влияние на целевые </w:t>
      </w:r>
      <w:r w:rsidR="00C537D4">
        <w:rPr>
          <w:rFonts w:eastAsia="Aptos" w:cs="Times New Roman"/>
          <w:szCs w:val="28"/>
        </w:rPr>
        <w:t>показатели</w:t>
      </w:r>
      <w:r w:rsidRPr="00F07BE7">
        <w:rPr>
          <w:rFonts w:eastAsia="Aptos" w:cs="Times New Roman"/>
          <w:szCs w:val="28"/>
        </w:rPr>
        <w:t xml:space="preserve"> Программы, объем расходов федерального бюджета в целях применения альтернативного механизма соответствует объему налоговых льгот. </w:t>
      </w:r>
    </w:p>
    <w:p w:rsidR="00F07BE7" w:rsidRPr="00F07BE7" w:rsidRDefault="002A2DDC" w:rsidP="002813E0">
      <w:pPr>
        <w:spacing w:line="240" w:lineRule="auto"/>
        <w:ind w:firstLine="709"/>
        <w:rPr>
          <w:rFonts w:eastAsia="Aptos" w:cs="Times New Roman"/>
          <w:szCs w:val="28"/>
        </w:rPr>
      </w:pPr>
      <w:r>
        <w:rPr>
          <w:rFonts w:eastAsia="Aptos" w:cs="Times New Roman"/>
          <w:szCs w:val="28"/>
        </w:rPr>
        <w:t>О</w:t>
      </w:r>
      <w:r w:rsidR="00F07BE7" w:rsidRPr="00F07BE7">
        <w:rPr>
          <w:rFonts w:eastAsia="Aptos" w:cs="Times New Roman"/>
          <w:szCs w:val="28"/>
        </w:rPr>
        <w:t>тсутствие в полном объеме статистических</w:t>
      </w:r>
      <w:r>
        <w:rPr>
          <w:rFonts w:eastAsia="Aptos" w:cs="Times New Roman"/>
          <w:szCs w:val="28"/>
        </w:rPr>
        <w:t xml:space="preserve"> данных</w:t>
      </w:r>
      <w:r w:rsidR="00F07BE7" w:rsidRPr="00F07BE7">
        <w:rPr>
          <w:rFonts w:eastAsia="Aptos" w:cs="Times New Roman"/>
          <w:szCs w:val="28"/>
        </w:rPr>
        <w:t xml:space="preserve"> в части объема предоставленных налоговых льгот и количестве плательщиков, воспользовавшихся правом на соответствующие налоговые льготы, не позволило провести оценку совокупного бюджетного эффекта по </w:t>
      </w:r>
      <w:r w:rsidR="002813E0">
        <w:rPr>
          <w:rFonts w:eastAsia="Aptos" w:cs="Times New Roman"/>
          <w:szCs w:val="28"/>
        </w:rPr>
        <w:t>4</w:t>
      </w:r>
      <w:r w:rsidR="00F07BE7" w:rsidRPr="00F07BE7">
        <w:rPr>
          <w:rFonts w:eastAsia="Aptos" w:cs="Times New Roman"/>
          <w:szCs w:val="28"/>
        </w:rPr>
        <w:t xml:space="preserve"> налоговым расходам, и, соответственно,</w:t>
      </w:r>
      <w:r w:rsidR="008D0750">
        <w:rPr>
          <w:rFonts w:eastAsia="Aptos" w:cs="Times New Roman"/>
          <w:szCs w:val="28"/>
        </w:rPr>
        <w:br/>
      </w:r>
      <w:r w:rsidR="00F07BE7" w:rsidRPr="00F07BE7">
        <w:rPr>
          <w:rFonts w:eastAsia="Aptos" w:cs="Times New Roman"/>
          <w:szCs w:val="28"/>
        </w:rPr>
        <w:t xml:space="preserve">в полном объеме оценить результативность предоставляемых стимулирующих налоговых льгот. Вместе с тем все льготы востребованы и влияют на достижение соответствующих целевых показателей Программы. </w:t>
      </w:r>
    </w:p>
    <w:p w:rsidR="00F07BE7" w:rsidRDefault="00F07BE7" w:rsidP="002813E0">
      <w:pPr>
        <w:autoSpaceDE w:val="0"/>
        <w:autoSpaceDN w:val="0"/>
        <w:adjustRightInd w:val="0"/>
        <w:spacing w:line="240" w:lineRule="auto"/>
        <w:ind w:firstLine="709"/>
        <w:rPr>
          <w:rFonts w:eastAsia="Aptos" w:cs="Times New Roman"/>
          <w:szCs w:val="28"/>
          <w14:ligatures w14:val="standardContextual"/>
        </w:rPr>
      </w:pPr>
      <w:r w:rsidRPr="00F07BE7">
        <w:rPr>
          <w:rFonts w:eastAsia="Aptos" w:cs="Times New Roman"/>
          <w:szCs w:val="28"/>
          <w14:ligatures w14:val="standardContextual"/>
        </w:rPr>
        <w:t>В условиях продолжающегося санкционного давления на экономику Российской Федерации целесообразно сохранить действующие меры государственной поддержки транспортных организаций.</w:t>
      </w:r>
    </w:p>
    <w:p w:rsidR="0022732B" w:rsidRDefault="0022732B" w:rsidP="002813E0">
      <w:pPr>
        <w:autoSpaceDE w:val="0"/>
        <w:autoSpaceDN w:val="0"/>
        <w:adjustRightInd w:val="0"/>
        <w:spacing w:line="240" w:lineRule="auto"/>
        <w:ind w:firstLine="709"/>
        <w:rPr>
          <w:rFonts w:cs="Times New Roman"/>
          <w:szCs w:val="28"/>
        </w:rPr>
      </w:pPr>
      <w:r>
        <w:rPr>
          <w:rFonts w:eastAsia="Aptos" w:cs="Times New Roman"/>
          <w:szCs w:val="28"/>
          <w14:ligatures w14:val="standardContextual"/>
        </w:rPr>
        <w:t>При этом отмечается</w:t>
      </w:r>
      <w:r w:rsidR="00004447">
        <w:rPr>
          <w:rFonts w:eastAsia="Aptos" w:cs="Times New Roman"/>
          <w:szCs w:val="28"/>
          <w14:ligatures w14:val="standardContextual"/>
        </w:rPr>
        <w:t xml:space="preserve">, что </w:t>
      </w:r>
      <w:r w:rsidR="00004447">
        <w:rPr>
          <w:rFonts w:cs="Times New Roman"/>
          <w:szCs w:val="28"/>
        </w:rPr>
        <w:t xml:space="preserve">снижение объема предоставленных налоговых льгот </w:t>
      </w:r>
      <w:r w:rsidR="00004447">
        <w:rPr>
          <w:rFonts w:cs="Times New Roman"/>
          <w:szCs w:val="28"/>
        </w:rPr>
        <w:br/>
        <w:t xml:space="preserve">на освобождение от уплаты ввозной таможенной пошлины гражданских пассажирских самолетов и авиационных двигателей (ВВТП.0025 и ВВТП.0027) </w:t>
      </w:r>
      <w:r w:rsidR="00004447">
        <w:rPr>
          <w:rFonts w:cs="Times New Roman"/>
          <w:szCs w:val="28"/>
        </w:rPr>
        <w:br/>
        <w:t xml:space="preserve">и освобождение от уплаты НДС при ввозе гражданских воздушных судов </w:t>
      </w:r>
      <w:r w:rsidR="00004447">
        <w:rPr>
          <w:rFonts w:cs="Times New Roman"/>
          <w:szCs w:val="28"/>
        </w:rPr>
        <w:br/>
      </w:r>
      <w:r w:rsidR="00004447">
        <w:rPr>
          <w:rFonts w:cs="Times New Roman"/>
          <w:szCs w:val="28"/>
        </w:rPr>
        <w:lastRenderedPageBreak/>
        <w:t>и авиационных двигателей (НДС.0223 и НДС.0225) связано с беспрецедентным внешним санкционным давлением на российские авиакомпании и отрасль гражданской авиации Российской Федерации в целом.</w:t>
      </w:r>
    </w:p>
    <w:p w:rsidR="00004447" w:rsidRDefault="00004447" w:rsidP="00004447">
      <w:pPr>
        <w:spacing w:line="240" w:lineRule="auto"/>
        <w:ind w:firstLine="709"/>
        <w:rPr>
          <w:rFonts w:cs="Times New Roman"/>
          <w:szCs w:val="28"/>
        </w:rPr>
      </w:pPr>
      <w:r>
        <w:rPr>
          <w:rFonts w:cs="Times New Roman"/>
          <w:szCs w:val="28"/>
        </w:rPr>
        <w:t>Для российских авиакомпаний, которые в условиях беспрецедентного внешнего санкционного давления изыскивают возможности для ввоза гражданских воздушных судов и авиационных двигателей на территорию Российской Федерации, тем самым поддерживая объем воздушных перевозок в стране, представляется целесообразным сохранение</w:t>
      </w:r>
      <w:r w:rsidRPr="00004447">
        <w:rPr>
          <w:rFonts w:cs="Times New Roman"/>
          <w:szCs w:val="28"/>
        </w:rPr>
        <w:t xml:space="preserve"> налоговых </w:t>
      </w:r>
      <w:r>
        <w:rPr>
          <w:rFonts w:cs="Times New Roman"/>
          <w:szCs w:val="28"/>
        </w:rPr>
        <w:t>льгот</w:t>
      </w:r>
      <w:r w:rsidRPr="00004447">
        <w:rPr>
          <w:rFonts w:cs="Times New Roman"/>
          <w:szCs w:val="28"/>
        </w:rPr>
        <w:t xml:space="preserve"> </w:t>
      </w:r>
      <w:r>
        <w:rPr>
          <w:rFonts w:cs="Times New Roman"/>
          <w:szCs w:val="28"/>
        </w:rPr>
        <w:t>до момента, пока производство гражданских воздушных судов и авиационных двигателей в России не вышло</w:t>
      </w:r>
      <w:r>
        <w:rPr>
          <w:rFonts w:cs="Times New Roman"/>
          <w:szCs w:val="28"/>
        </w:rPr>
        <w:br/>
        <w:t xml:space="preserve">на необходимую для удовлетворения спроса российских авиакомпаний производственную мощность. </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 xml:space="preserve">В. Технические налоговые расходы </w:t>
      </w:r>
    </w:p>
    <w:p w:rsidR="00F07BE7" w:rsidRPr="00F07BE7" w:rsidRDefault="00F07BE7" w:rsidP="002813E0">
      <w:pPr>
        <w:spacing w:line="240" w:lineRule="auto"/>
        <w:ind w:firstLine="709"/>
        <w:rPr>
          <w:rFonts w:eastAsia="Aptos" w:cs="Times New Roman"/>
          <w:szCs w:val="28"/>
        </w:rPr>
      </w:pPr>
      <w:r w:rsidRPr="00F07BE7">
        <w:rPr>
          <w:rFonts w:eastAsia="Aptos" w:cs="Times New Roman"/>
          <w:szCs w:val="28"/>
        </w:rPr>
        <w:t>Все технические налоговые расходы направлены на устранение встречных потоков средств федерального бюджета, востребованы и эффективны.</w:t>
      </w:r>
    </w:p>
    <w:p w:rsidR="00E071FD" w:rsidRPr="00F07BE7" w:rsidRDefault="00F07BE7" w:rsidP="002813E0">
      <w:pPr>
        <w:spacing w:line="240" w:lineRule="auto"/>
        <w:ind w:firstLine="709"/>
        <w:rPr>
          <w:rFonts w:cs="Times New Roman"/>
          <w:szCs w:val="28"/>
        </w:rPr>
      </w:pPr>
      <w:r w:rsidRPr="00F07BE7">
        <w:rPr>
          <w:rFonts w:eastAsia="Aptos" w:cs="Times New Roman"/>
          <w:szCs w:val="28"/>
        </w:rPr>
        <w:t>Таким образом, по итогам оценки эффективности налоговых расходов Российской Федерации предлагается сохранить на следующий финансовый год</w:t>
      </w:r>
      <w:r w:rsidR="008D0750">
        <w:rPr>
          <w:rFonts w:eastAsia="Aptos" w:cs="Times New Roman"/>
          <w:szCs w:val="28"/>
        </w:rPr>
        <w:br/>
      </w:r>
      <w:r w:rsidRPr="00F07BE7">
        <w:rPr>
          <w:rFonts w:eastAsia="Aptos" w:cs="Times New Roman"/>
          <w:szCs w:val="28"/>
        </w:rPr>
        <w:t>24 налоговых расхода, в том числе 8 социальных, 13 стимулирующих</w:t>
      </w:r>
      <w:r w:rsidR="002813E0">
        <w:rPr>
          <w:rFonts w:eastAsia="Aptos" w:cs="Times New Roman"/>
          <w:szCs w:val="28"/>
        </w:rPr>
        <w:br/>
      </w:r>
      <w:r w:rsidRPr="00F07BE7">
        <w:rPr>
          <w:rFonts w:eastAsia="Aptos" w:cs="Times New Roman"/>
          <w:szCs w:val="28"/>
        </w:rPr>
        <w:t>и 3 технических налоговых расхода.</w:t>
      </w:r>
    </w:p>
    <w:p w:rsidR="002813E0" w:rsidRPr="00F07BE7" w:rsidRDefault="002813E0">
      <w:pPr>
        <w:spacing w:line="240" w:lineRule="auto"/>
        <w:ind w:firstLine="709"/>
        <w:rPr>
          <w:rFonts w:cs="Times New Roman"/>
          <w:szCs w:val="28"/>
        </w:rPr>
      </w:pPr>
    </w:p>
    <w:sectPr w:rsidR="002813E0" w:rsidRPr="00F07BE7" w:rsidSect="004D1ACF">
      <w:headerReference w:type="default" r:id="rId8"/>
      <w:pgSz w:w="11906" w:h="16838"/>
      <w:pgMar w:top="1134" w:right="567" w:bottom="1134" w:left="1134" w:header="425"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DC6" w:rsidRDefault="00550DC6" w:rsidP="002813E0">
      <w:pPr>
        <w:spacing w:line="240" w:lineRule="auto"/>
      </w:pPr>
      <w:r>
        <w:separator/>
      </w:r>
    </w:p>
  </w:endnote>
  <w:endnote w:type="continuationSeparator" w:id="0">
    <w:p w:rsidR="00550DC6" w:rsidRDefault="00550DC6" w:rsidP="00281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Apto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DC6" w:rsidRDefault="00550DC6" w:rsidP="002813E0">
      <w:pPr>
        <w:spacing w:line="240" w:lineRule="auto"/>
      </w:pPr>
      <w:r>
        <w:separator/>
      </w:r>
    </w:p>
  </w:footnote>
  <w:footnote w:type="continuationSeparator" w:id="0">
    <w:p w:rsidR="00550DC6" w:rsidRDefault="00550DC6" w:rsidP="002813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243347"/>
      <w:docPartObj>
        <w:docPartGallery w:val="Page Numbers (Top of Page)"/>
        <w:docPartUnique/>
      </w:docPartObj>
    </w:sdtPr>
    <w:sdtEndPr/>
    <w:sdtContent>
      <w:p w:rsidR="002813E0" w:rsidRDefault="002813E0">
        <w:pPr>
          <w:pStyle w:val="aa"/>
          <w:jc w:val="center"/>
        </w:pPr>
        <w:r>
          <w:fldChar w:fldCharType="begin"/>
        </w:r>
        <w:r>
          <w:instrText>PAGE   \* MERGEFORMAT</w:instrText>
        </w:r>
        <w:r>
          <w:fldChar w:fldCharType="separate"/>
        </w:r>
        <w:r w:rsidR="00516375">
          <w:rPr>
            <w:noProof/>
          </w:rPr>
          <w:t>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C6467"/>
    <w:multiLevelType w:val="multilevel"/>
    <w:tmpl w:val="749C6467"/>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BE7"/>
    <w:rsid w:val="00004447"/>
    <w:rsid w:val="000D6D8D"/>
    <w:rsid w:val="002134C2"/>
    <w:rsid w:val="0022732B"/>
    <w:rsid w:val="002813E0"/>
    <w:rsid w:val="00291D68"/>
    <w:rsid w:val="002A2DDC"/>
    <w:rsid w:val="0033543C"/>
    <w:rsid w:val="004D1ACF"/>
    <w:rsid w:val="00516375"/>
    <w:rsid w:val="00550DC6"/>
    <w:rsid w:val="005F434A"/>
    <w:rsid w:val="00600701"/>
    <w:rsid w:val="008D0750"/>
    <w:rsid w:val="00911FE9"/>
    <w:rsid w:val="00944A32"/>
    <w:rsid w:val="009516DC"/>
    <w:rsid w:val="00A9096E"/>
    <w:rsid w:val="00A97CDC"/>
    <w:rsid w:val="00B170FE"/>
    <w:rsid w:val="00B6657C"/>
    <w:rsid w:val="00C537D4"/>
    <w:rsid w:val="00F07BE7"/>
    <w:rsid w:val="00F97621"/>
    <w:rsid w:val="00FA1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43C"/>
    <w:pPr>
      <w:spacing w:after="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537D4"/>
    <w:rPr>
      <w:sz w:val="16"/>
      <w:szCs w:val="16"/>
    </w:rPr>
  </w:style>
  <w:style w:type="paragraph" w:styleId="a4">
    <w:name w:val="annotation text"/>
    <w:basedOn w:val="a"/>
    <w:link w:val="a5"/>
    <w:uiPriority w:val="99"/>
    <w:semiHidden/>
    <w:unhideWhenUsed/>
    <w:rsid w:val="00C537D4"/>
    <w:pPr>
      <w:spacing w:line="240" w:lineRule="auto"/>
    </w:pPr>
    <w:rPr>
      <w:sz w:val="20"/>
      <w:szCs w:val="20"/>
    </w:rPr>
  </w:style>
  <w:style w:type="character" w:customStyle="1" w:styleId="a5">
    <w:name w:val="Текст примечания Знак"/>
    <w:basedOn w:val="a0"/>
    <w:link w:val="a4"/>
    <w:uiPriority w:val="99"/>
    <w:semiHidden/>
    <w:rsid w:val="00C537D4"/>
    <w:rPr>
      <w:rFonts w:ascii="Times New Roman" w:hAnsi="Times New Roman"/>
      <w:sz w:val="20"/>
      <w:szCs w:val="20"/>
    </w:rPr>
  </w:style>
  <w:style w:type="paragraph" w:styleId="a6">
    <w:name w:val="annotation subject"/>
    <w:basedOn w:val="a4"/>
    <w:next w:val="a4"/>
    <w:link w:val="a7"/>
    <w:uiPriority w:val="99"/>
    <w:semiHidden/>
    <w:unhideWhenUsed/>
    <w:rsid w:val="00C537D4"/>
    <w:rPr>
      <w:b/>
      <w:bCs/>
    </w:rPr>
  </w:style>
  <w:style w:type="character" w:customStyle="1" w:styleId="a7">
    <w:name w:val="Тема примечания Знак"/>
    <w:basedOn w:val="a5"/>
    <w:link w:val="a6"/>
    <w:uiPriority w:val="99"/>
    <w:semiHidden/>
    <w:rsid w:val="00C537D4"/>
    <w:rPr>
      <w:rFonts w:ascii="Times New Roman" w:hAnsi="Times New Roman"/>
      <w:b/>
      <w:bCs/>
      <w:sz w:val="20"/>
      <w:szCs w:val="20"/>
    </w:rPr>
  </w:style>
  <w:style w:type="paragraph" w:styleId="a8">
    <w:name w:val="Balloon Text"/>
    <w:basedOn w:val="a"/>
    <w:link w:val="a9"/>
    <w:uiPriority w:val="99"/>
    <w:semiHidden/>
    <w:unhideWhenUsed/>
    <w:rsid w:val="00C537D4"/>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37D4"/>
    <w:rPr>
      <w:rFonts w:ascii="Segoe UI" w:hAnsi="Segoe UI" w:cs="Segoe UI"/>
      <w:sz w:val="18"/>
      <w:szCs w:val="18"/>
    </w:rPr>
  </w:style>
  <w:style w:type="paragraph" w:styleId="aa">
    <w:name w:val="header"/>
    <w:basedOn w:val="a"/>
    <w:link w:val="ab"/>
    <w:uiPriority w:val="99"/>
    <w:unhideWhenUsed/>
    <w:rsid w:val="002813E0"/>
    <w:pPr>
      <w:tabs>
        <w:tab w:val="center" w:pos="4677"/>
        <w:tab w:val="right" w:pos="9355"/>
      </w:tabs>
      <w:spacing w:line="240" w:lineRule="auto"/>
    </w:pPr>
  </w:style>
  <w:style w:type="character" w:customStyle="1" w:styleId="ab">
    <w:name w:val="Верхний колонтитул Знак"/>
    <w:basedOn w:val="a0"/>
    <w:link w:val="aa"/>
    <w:uiPriority w:val="99"/>
    <w:rsid w:val="002813E0"/>
    <w:rPr>
      <w:rFonts w:ascii="Times New Roman" w:hAnsi="Times New Roman"/>
      <w:sz w:val="28"/>
    </w:rPr>
  </w:style>
  <w:style w:type="paragraph" w:styleId="ac">
    <w:name w:val="footer"/>
    <w:basedOn w:val="a"/>
    <w:link w:val="ad"/>
    <w:uiPriority w:val="99"/>
    <w:unhideWhenUsed/>
    <w:rsid w:val="002813E0"/>
    <w:pPr>
      <w:tabs>
        <w:tab w:val="center" w:pos="4677"/>
        <w:tab w:val="right" w:pos="9355"/>
      </w:tabs>
      <w:spacing w:line="240" w:lineRule="auto"/>
    </w:pPr>
  </w:style>
  <w:style w:type="character" w:customStyle="1" w:styleId="ad">
    <w:name w:val="Нижний колонтитул Знак"/>
    <w:basedOn w:val="a0"/>
    <w:link w:val="ac"/>
    <w:uiPriority w:val="99"/>
    <w:rsid w:val="002813E0"/>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43C"/>
    <w:pPr>
      <w:spacing w:after="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537D4"/>
    <w:rPr>
      <w:sz w:val="16"/>
      <w:szCs w:val="16"/>
    </w:rPr>
  </w:style>
  <w:style w:type="paragraph" w:styleId="a4">
    <w:name w:val="annotation text"/>
    <w:basedOn w:val="a"/>
    <w:link w:val="a5"/>
    <w:uiPriority w:val="99"/>
    <w:semiHidden/>
    <w:unhideWhenUsed/>
    <w:rsid w:val="00C537D4"/>
    <w:pPr>
      <w:spacing w:line="240" w:lineRule="auto"/>
    </w:pPr>
    <w:rPr>
      <w:sz w:val="20"/>
      <w:szCs w:val="20"/>
    </w:rPr>
  </w:style>
  <w:style w:type="character" w:customStyle="1" w:styleId="a5">
    <w:name w:val="Текст примечания Знак"/>
    <w:basedOn w:val="a0"/>
    <w:link w:val="a4"/>
    <w:uiPriority w:val="99"/>
    <w:semiHidden/>
    <w:rsid w:val="00C537D4"/>
    <w:rPr>
      <w:rFonts w:ascii="Times New Roman" w:hAnsi="Times New Roman"/>
      <w:sz w:val="20"/>
      <w:szCs w:val="20"/>
    </w:rPr>
  </w:style>
  <w:style w:type="paragraph" w:styleId="a6">
    <w:name w:val="annotation subject"/>
    <w:basedOn w:val="a4"/>
    <w:next w:val="a4"/>
    <w:link w:val="a7"/>
    <w:uiPriority w:val="99"/>
    <w:semiHidden/>
    <w:unhideWhenUsed/>
    <w:rsid w:val="00C537D4"/>
    <w:rPr>
      <w:b/>
      <w:bCs/>
    </w:rPr>
  </w:style>
  <w:style w:type="character" w:customStyle="1" w:styleId="a7">
    <w:name w:val="Тема примечания Знак"/>
    <w:basedOn w:val="a5"/>
    <w:link w:val="a6"/>
    <w:uiPriority w:val="99"/>
    <w:semiHidden/>
    <w:rsid w:val="00C537D4"/>
    <w:rPr>
      <w:rFonts w:ascii="Times New Roman" w:hAnsi="Times New Roman"/>
      <w:b/>
      <w:bCs/>
      <w:sz w:val="20"/>
      <w:szCs w:val="20"/>
    </w:rPr>
  </w:style>
  <w:style w:type="paragraph" w:styleId="a8">
    <w:name w:val="Balloon Text"/>
    <w:basedOn w:val="a"/>
    <w:link w:val="a9"/>
    <w:uiPriority w:val="99"/>
    <w:semiHidden/>
    <w:unhideWhenUsed/>
    <w:rsid w:val="00C537D4"/>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37D4"/>
    <w:rPr>
      <w:rFonts w:ascii="Segoe UI" w:hAnsi="Segoe UI" w:cs="Segoe UI"/>
      <w:sz w:val="18"/>
      <w:szCs w:val="18"/>
    </w:rPr>
  </w:style>
  <w:style w:type="paragraph" w:styleId="aa">
    <w:name w:val="header"/>
    <w:basedOn w:val="a"/>
    <w:link w:val="ab"/>
    <w:uiPriority w:val="99"/>
    <w:unhideWhenUsed/>
    <w:rsid w:val="002813E0"/>
    <w:pPr>
      <w:tabs>
        <w:tab w:val="center" w:pos="4677"/>
        <w:tab w:val="right" w:pos="9355"/>
      </w:tabs>
      <w:spacing w:line="240" w:lineRule="auto"/>
    </w:pPr>
  </w:style>
  <w:style w:type="character" w:customStyle="1" w:styleId="ab">
    <w:name w:val="Верхний колонтитул Знак"/>
    <w:basedOn w:val="a0"/>
    <w:link w:val="aa"/>
    <w:uiPriority w:val="99"/>
    <w:rsid w:val="002813E0"/>
    <w:rPr>
      <w:rFonts w:ascii="Times New Roman" w:hAnsi="Times New Roman"/>
      <w:sz w:val="28"/>
    </w:rPr>
  </w:style>
  <w:style w:type="paragraph" w:styleId="ac">
    <w:name w:val="footer"/>
    <w:basedOn w:val="a"/>
    <w:link w:val="ad"/>
    <w:uiPriority w:val="99"/>
    <w:unhideWhenUsed/>
    <w:rsid w:val="002813E0"/>
    <w:pPr>
      <w:tabs>
        <w:tab w:val="center" w:pos="4677"/>
        <w:tab w:val="right" w:pos="9355"/>
      </w:tabs>
      <w:spacing w:line="240" w:lineRule="auto"/>
    </w:pPr>
  </w:style>
  <w:style w:type="character" w:customStyle="1" w:styleId="ad">
    <w:name w:val="Нижний колонтитул Знак"/>
    <w:basedOn w:val="a0"/>
    <w:link w:val="ac"/>
    <w:uiPriority w:val="99"/>
    <w:rsid w:val="002813E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1165</TotalTime>
  <Pages>5</Pages>
  <Words>1811</Words>
  <Characters>10328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Дьяконова Наталья Михайловна</cp:lastModifiedBy>
  <cp:revision>14</cp:revision>
  <dcterms:created xsi:type="dcterms:W3CDTF">2024-12-03T09:07:00Z</dcterms:created>
  <dcterms:modified xsi:type="dcterms:W3CDTF">2025-02-26T11:51:00Z</dcterms:modified>
</cp:coreProperties>
</file>