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6D55" w14:textId="308777A1" w:rsidR="00C86B64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1F2071">
        <w:rPr>
          <w:rFonts w:hAnsi="Times New Roman" w:cs="Times New Roman"/>
          <w:sz w:val="24"/>
          <w:szCs w:val="24"/>
        </w:rPr>
        <w:t>04.07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325557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1F2071">
        <w:rPr>
          <w:rFonts w:hAnsi="Times New Roman" w:cs="Times New Roman"/>
          <w:sz w:val="24"/>
          <w:szCs w:val="24"/>
        </w:rPr>
        <w:t>6919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58053853" w14:textId="3308162B" w:rsidR="001F2071" w:rsidRPr="008A1C40" w:rsidRDefault="001F2071" w:rsidP="001F2071">
      <w:pPr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(ранее 03-01/6443)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49A56447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AC7213" w:rsidRPr="008A1C40">
        <w:rPr>
          <w:rFonts w:hAnsi="Times New Roman" w:cs="Times New Roman"/>
          <w:sz w:val="24"/>
          <w:szCs w:val="24"/>
        </w:rPr>
        <w:t>Москва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2B8DE7C4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263568">
        <w:rPr>
          <w:rStyle w:val="FontStyle27"/>
          <w:sz w:val="24"/>
          <w:szCs w:val="24"/>
        </w:rPr>
        <w:t>2001</w:t>
      </w:r>
      <w:r w:rsidR="00DA3F0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7EF609E0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263568">
        <w:rPr>
          <w:rStyle w:val="FontStyle27"/>
          <w:sz w:val="24"/>
          <w:szCs w:val="24"/>
        </w:rPr>
        <w:t>2001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p w14:paraId="17738D80" w14:textId="77777777" w:rsidR="00684AD2" w:rsidRPr="008A1C40" w:rsidRDefault="00684AD2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0A1597F7" w:rsidR="0092481D" w:rsidRPr="008A1C40" w:rsidRDefault="00412D37" w:rsidP="007471C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8F9BA" w14:textId="77777777" w:rsidR="00E13FB8" w:rsidRDefault="00412D37" w:rsidP="00E13F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12D37">
              <w:rPr>
                <w:rFonts w:ascii="Times New Roman" w:hAnsi="Times New Roman" w:cs="Times New Roman"/>
              </w:rPr>
              <w:t>г. Москва, 19 км МКАД, вл</w:t>
            </w:r>
            <w:r w:rsidR="00E13FB8">
              <w:rPr>
                <w:rFonts w:ascii="Times New Roman" w:hAnsi="Times New Roman" w:cs="Times New Roman"/>
              </w:rPr>
              <w:t>адение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2D37">
              <w:rPr>
                <w:rFonts w:ascii="Times New Roman" w:hAnsi="Times New Roman" w:cs="Times New Roman"/>
              </w:rPr>
              <w:t xml:space="preserve">20, </w:t>
            </w:r>
          </w:p>
          <w:p w14:paraId="7C0186CD" w14:textId="3BF11E3A" w:rsidR="0092481D" w:rsidRPr="008A1C40" w:rsidRDefault="00412D37" w:rsidP="00E13F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12D37">
              <w:rPr>
                <w:rFonts w:ascii="Times New Roman" w:hAnsi="Times New Roman" w:cs="Times New Roman"/>
              </w:rPr>
              <w:t>стр</w:t>
            </w:r>
            <w:r w:rsidR="00E13FB8">
              <w:rPr>
                <w:rFonts w:ascii="Times New Roman" w:hAnsi="Times New Roman" w:cs="Times New Roman"/>
              </w:rPr>
              <w:t xml:space="preserve">оение </w:t>
            </w:r>
            <w:r w:rsidRPr="00412D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318AFC9D" w:rsidR="0092481D" w:rsidRPr="008A1C40" w:rsidRDefault="00412D3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12D37">
              <w:rPr>
                <w:rFonts w:hAnsi="Times New Roman" w:cs="Times New Roman"/>
                <w:sz w:val="24"/>
                <w:szCs w:val="24"/>
              </w:rPr>
              <w:t>77003</w:t>
            </w:r>
          </w:p>
        </w:tc>
      </w:tr>
      <w:tr w:rsidR="0092481D" w:rsidRPr="008A1C40" w14:paraId="7F987A7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6B20BF22" w:rsidR="0092481D" w:rsidRPr="008A1C40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r w:rsidR="00E13FB8">
              <w:rPr>
                <w:rFonts w:ascii="Times New Roman" w:hAnsi="Times New Roman" w:cs="Times New Roman"/>
                <w:lang w:bidi="ru-RU"/>
              </w:rPr>
              <w:t>«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  <w:r w:rsidR="00E13FB8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6B00A820" w:rsidR="0092481D" w:rsidRPr="008A1C40" w:rsidRDefault="0092481D" w:rsidP="00E13FB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1C40">
              <w:rPr>
                <w:rFonts w:ascii="Times New Roman" w:hAnsi="Times New Roman" w:cs="Times New Roman"/>
              </w:rPr>
              <w:t xml:space="preserve">г. Тбилиси, </w:t>
            </w:r>
            <w:r w:rsidR="004D70B8">
              <w:rPr>
                <w:rFonts w:ascii="Times New Roman" w:hAnsi="Times New Roman" w:cs="Times New Roman"/>
              </w:rPr>
              <w:t xml:space="preserve">ул. </w:t>
            </w:r>
            <w:r w:rsidR="00E13FB8">
              <w:rPr>
                <w:rFonts w:ascii="Times New Roman" w:hAnsi="Times New Roman" w:cs="Times New Roman"/>
              </w:rPr>
              <w:t>Гулия,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77777777" w:rsidR="0092481D" w:rsidRPr="008A1C40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684AD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7081D39" w14:textId="1D55F69D" w:rsidR="00684AD2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(управомоченный)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A1C40" w14:paraId="59EF3C3E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050755" w:rsidRPr="008A1C40" w14:paraId="5C70AF58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6C0" w14:textId="6F08DF1D" w:rsidR="00412D37" w:rsidRDefault="00412D37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  <w:r w:rsidR="0092024B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59BB5AF9" w14:textId="23D9CA26" w:rsidR="00050755" w:rsidRPr="008A1C40" w:rsidRDefault="00412D37" w:rsidP="0005075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1A81A7A5" w:rsidR="00050755" w:rsidRPr="008A1C40" w:rsidRDefault="00050755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 w:rsidR="00412D37"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069CE5CF" w:rsidR="00050755" w:rsidRPr="008A1C40" w:rsidRDefault="00412D37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226D7B48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7D277ABE" w:rsidR="00050755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="00050755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050755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10EEA9CB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75EBAB97" w:rsidR="00050755" w:rsidRPr="008A1C40" w:rsidRDefault="00050755" w:rsidP="0005075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B74097" w:rsidRPr="008A1C40" w14:paraId="05E52422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B74097" w:rsidRPr="008A1C40" w:rsidRDefault="00B74097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74A7D067" w:rsidR="00B74097" w:rsidRPr="008A1C40" w:rsidRDefault="00B7409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56DBD790" w:rsidR="00B74097" w:rsidRPr="008A1C40" w:rsidRDefault="00412D37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041EAB78" w:rsidR="00B74097" w:rsidRPr="008A1C40" w:rsidRDefault="00B7409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 w:rsidR="00412D37"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412D37"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6BEE7C01" w:rsidR="00B74097" w:rsidRPr="008A1C40" w:rsidRDefault="00B7409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 w:rsidR="00CF4572">
              <w:rPr>
                <w:rFonts w:hAnsi="Times New Roman" w:cs="Times New Roman"/>
                <w:sz w:val="24"/>
                <w:szCs w:val="24"/>
              </w:rPr>
              <w:t>4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240E33B4" w:rsidR="00B74097" w:rsidRPr="008A1C40" w:rsidRDefault="00050755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1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172F3EB7" w:rsidR="00B74097" w:rsidRPr="008A1C40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412D37" w:rsidRPr="008A1C40" w14:paraId="1C7EFC5D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412D37" w:rsidRPr="008A1C40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6BA8D61A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1CDB75D8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DE23069" w:rsidR="00412D37" w:rsidRPr="008A1C40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68AFC395" w:rsidR="00412D37" w:rsidRPr="008A1C40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="00412D3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412D3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37D21072" w:rsidR="00412D37" w:rsidRPr="008A1C40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2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66354133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412D37" w:rsidRPr="008A1C40" w14:paraId="6C82405A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77777777" w:rsidR="00412D37" w:rsidRPr="008A1C40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77777777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265B41D8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5E63695B" w:rsidR="00412D37" w:rsidRPr="008A1C40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412D37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77777777" w:rsidR="00412D37" w:rsidRPr="008A1C40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3E88654C" w:rsidR="00412D37" w:rsidRPr="008A1C40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6</w:t>
            </w:r>
            <w:r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15DB210" w:rsidR="00412D37" w:rsidRPr="008A1C40" w:rsidRDefault="00CF4572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2001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B74097" w:rsidRPr="006220B7" w14:paraId="73730346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7F1" w14:textId="77777777" w:rsidR="00B74097" w:rsidRPr="006220B7" w:rsidRDefault="00B74097" w:rsidP="00B74097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951" w14:textId="77777777" w:rsidR="00B74097" w:rsidRPr="006220B7" w:rsidRDefault="00B7409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285738F7" w:rsidR="00B74097" w:rsidRPr="006220B7" w:rsidRDefault="00412D37" w:rsidP="00B740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285880FD" w:rsidR="00B74097" w:rsidRPr="006220B7" w:rsidRDefault="00684AD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F4572">
              <w:rPr>
                <w:rFonts w:hAnsi="Times New Roman" w:cs="Times New Roman"/>
                <w:sz w:val="24"/>
                <w:szCs w:val="24"/>
              </w:rPr>
              <w:t>6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</w:t>
            </w:r>
            <w:r w:rsidR="00B74097"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77777777" w:rsidR="00B74097" w:rsidRPr="006220B7" w:rsidRDefault="00B74097" w:rsidP="00B740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12D37" w:rsidRPr="006220B7" w14:paraId="545093ED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412D37" w:rsidRPr="006220B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020CD86F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4BADD2FA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36C03396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412D3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742FA853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412D37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1339A067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42D5997F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F4572">
              <w:rPr>
                <w:rFonts w:hAnsi="Times New Roman" w:cs="Times New Roman"/>
                <w:sz w:val="24"/>
                <w:szCs w:val="24"/>
              </w:rPr>
              <w:t>68</w:t>
            </w:r>
          </w:p>
        </w:tc>
      </w:tr>
      <w:tr w:rsidR="00412D37" w:rsidRPr="006220B7" w14:paraId="75466AA3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412D37" w:rsidRPr="006220B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3F3926FC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65073214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3715D24F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412D3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72AB9DB8" w:rsidR="00412D37" w:rsidRPr="006220B7" w:rsidRDefault="00CF4572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="00412D37"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412D3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27224239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02DD11BF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CF4572">
              <w:rPr>
                <w:rFonts w:hAnsi="Times New Roman" w:cs="Times New Roman"/>
                <w:sz w:val="24"/>
                <w:szCs w:val="24"/>
              </w:rPr>
              <w:t>71</w:t>
            </w:r>
          </w:p>
        </w:tc>
      </w:tr>
      <w:tr w:rsidR="00412D37" w:rsidRPr="006220B7" w14:paraId="4AB322F9" w14:textId="77777777" w:rsidTr="00050755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BAC" w14:textId="1E068015" w:rsidR="00412D3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  <w:r w:rsidR="0092024B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2975E7B4" w14:textId="03275ED6" w:rsidR="00412D37" w:rsidRPr="006220B7" w:rsidRDefault="00412D37" w:rsidP="00412D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E247B27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3C1FE2E5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23D8FAAC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 w:rsidR="00CF4572"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77777777" w:rsidR="00412D37" w:rsidRPr="006220B7" w:rsidRDefault="00412D37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58B91E8F" w:rsidR="00412D37" w:rsidRPr="006220B7" w:rsidRDefault="00412D37" w:rsidP="00CF457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="00CF4572">
              <w:rPr>
                <w:rFonts w:hAnsi="Times New Roman" w:cs="Times New Roman"/>
                <w:sz w:val="24"/>
                <w:szCs w:val="24"/>
              </w:rPr>
              <w:t>6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41679CD8" w:rsidR="00412D37" w:rsidRPr="006220B7" w:rsidRDefault="00CF4572" w:rsidP="00412D3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2001</w:t>
            </w:r>
          </w:p>
        </w:tc>
      </w:tr>
    </w:tbl>
    <w:p w14:paraId="5551936E" w14:textId="77777777" w:rsidR="00AB190B" w:rsidRPr="006220B7" w:rsidRDefault="00AB19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71BEBB6" w14:textId="6FEFE92B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</w:t>
      </w:r>
      <w:r w:rsidR="00095793" w:rsidRPr="0068079D">
        <w:rPr>
          <w:rStyle w:val="FontStyle28"/>
          <w:sz w:val="24"/>
          <w:szCs w:val="24"/>
        </w:rPr>
        <w:t>.2</w:t>
      </w:r>
      <w:r w:rsidR="00D12EA4" w:rsidRPr="0068079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8079D">
        <w:rPr>
          <w:rStyle w:val="FontStyle28"/>
          <w:sz w:val="24"/>
          <w:szCs w:val="24"/>
        </w:rPr>
        <w:t>:</w:t>
      </w:r>
    </w:p>
    <w:p w14:paraId="72B39995" w14:textId="77777777" w:rsidR="00684AD2" w:rsidRDefault="00684A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CF4572" w:rsidRPr="008A1C40" w14:paraId="65C346A0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94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49AE8C34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48459350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3031378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39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98B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7E2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6EC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0D0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D024A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081DABD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5566AF0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0F51617E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015CC41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1F49BD4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6AEEC9DE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CF4572" w:rsidRPr="008A1C40" w14:paraId="2F5B8D38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76E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B1BD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8423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22CF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2ED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17E5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7699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CF4572" w:rsidRPr="008A1C40" w14:paraId="12A68FFD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457BAD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CF4572" w:rsidRPr="008A1C40" w14:paraId="504513AF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EEA538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CF4572" w:rsidRPr="008A1C40" w14:paraId="357B670F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FF36" w14:textId="2DA56450" w:rsidR="00CF4572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lastRenderedPageBreak/>
              <w:t>Международный АВ «Южные ворота»</w:t>
            </w:r>
            <w:r w:rsidR="0092024B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781B7DE6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E51A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CB8" w14:textId="09F9E45A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1CB9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50B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6AF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7808C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CF4572" w:rsidRPr="008A1C40" w14:paraId="7E7B675B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6903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BA2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7CC7" w14:textId="46C00C54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973C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DACC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4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3A6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31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4BB1F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1830</w:t>
            </w:r>
          </w:p>
        </w:tc>
      </w:tr>
      <w:tr w:rsidR="00CF4572" w:rsidRPr="008A1C40" w14:paraId="7AF2291E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F8C1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721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7FDD" w14:textId="0147ABA2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F0B6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7580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AE1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32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77076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B74097">
              <w:rPr>
                <w:rFonts w:hAnsi="Times New Roman" w:cs="Times New Roman"/>
                <w:sz w:val="24"/>
                <w:szCs w:val="24"/>
              </w:rPr>
              <w:t>1833</w:t>
            </w:r>
          </w:p>
        </w:tc>
      </w:tr>
      <w:tr w:rsidR="00CF4572" w:rsidRPr="008A1C40" w14:paraId="7A169F5A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454" w14:textId="77777777" w:rsidR="00CF4572" w:rsidRPr="008A1C40" w:rsidRDefault="00CF4572" w:rsidP="00656D5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AE0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4B5" w14:textId="76112733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4A5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42E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451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36</w:t>
            </w:r>
            <w:r w:rsidRPr="008A1C40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75578" w14:textId="77777777" w:rsidR="00CF4572" w:rsidRPr="008A1C40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2001</w:t>
            </w:r>
          </w:p>
        </w:tc>
      </w:tr>
      <w:tr w:rsidR="00CF4572" w:rsidRPr="008A1C40" w14:paraId="117356DB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EC39D4" w14:textId="77777777" w:rsidR="00CF4572" w:rsidRPr="008A1C40" w:rsidRDefault="00CF4572" w:rsidP="00656D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CF4572" w:rsidRPr="006220B7" w14:paraId="40AF9E73" w14:textId="77777777" w:rsidTr="00656D5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D7C510" w14:textId="77777777" w:rsidR="00CF4572" w:rsidRPr="006220B7" w:rsidRDefault="00CF4572" w:rsidP="00656D5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CF4572" w:rsidRPr="006220B7" w14:paraId="749778E7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EFD" w14:textId="77777777" w:rsidR="00CF4572" w:rsidRPr="006220B7" w:rsidRDefault="00CF4572" w:rsidP="00656D56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840" w14:textId="77777777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F03" w14:textId="786868EC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2ECF" w14:textId="77777777" w:rsidR="00CF4572" w:rsidRPr="006220B7" w:rsidRDefault="00CF4572" w:rsidP="00656D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84C" w14:textId="77777777" w:rsidR="00CF4572" w:rsidRPr="006220B7" w:rsidRDefault="00CF4572" w:rsidP="00656D5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Pr="00B7409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B7409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3112" w14:textId="77777777" w:rsidR="00CF4572" w:rsidRPr="006220B7" w:rsidRDefault="00CF4572" w:rsidP="00656D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941A1" w14:textId="77777777" w:rsidR="00CF4572" w:rsidRPr="006220B7" w:rsidRDefault="00CF4572" w:rsidP="00656D5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E28B7" w:rsidRPr="006220B7" w14:paraId="2048888E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7B1" w14:textId="77777777" w:rsidR="001E28B7" w:rsidRPr="006220B7" w:rsidRDefault="001E28B7" w:rsidP="001E28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237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9DFD" w14:textId="7071485A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669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EB97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EAB5" w14:textId="67E0A189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9D621" w14:textId="05ABCF86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530</w:t>
            </w:r>
          </w:p>
        </w:tc>
      </w:tr>
      <w:tr w:rsidR="001E28B7" w:rsidRPr="006220B7" w14:paraId="6F15B098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7DE3" w14:textId="77777777" w:rsidR="001E28B7" w:rsidRPr="006220B7" w:rsidRDefault="001E28B7" w:rsidP="001E28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02F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394A" w14:textId="00E07050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D381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D03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BB11" w14:textId="720ADFA4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E3FE3" w14:textId="0DD49CB1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533</w:t>
            </w:r>
          </w:p>
        </w:tc>
      </w:tr>
      <w:tr w:rsidR="001E28B7" w:rsidRPr="006220B7" w14:paraId="0BF696AC" w14:textId="77777777" w:rsidTr="00656D56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BD9" w14:textId="2E97C963" w:rsidR="001E28B7" w:rsidRDefault="001E28B7" w:rsidP="001E28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12D37">
              <w:rPr>
                <w:rFonts w:ascii="Times New Roman" w:hAnsi="Times New Roman" w:cs="Times New Roman"/>
                <w:lang w:bidi="ru-RU"/>
              </w:rPr>
              <w:t>Международный АВ «Южные ворота»</w:t>
            </w:r>
            <w:r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4D7BAB93" w14:textId="77777777" w:rsidR="001E28B7" w:rsidRPr="006220B7" w:rsidRDefault="001E28B7" w:rsidP="001E28B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4C8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</w:t>
            </w:r>
            <w:r>
              <w:rPr>
                <w:rFonts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4FFB" w14:textId="128B6401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3A48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DCA" w14:textId="77777777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BBDC" w14:textId="7AC44B5F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36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9B9B9" w14:textId="04BDF528" w:rsidR="001E28B7" w:rsidRPr="006220B7" w:rsidRDefault="001E28B7" w:rsidP="001E28B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2363</w:t>
            </w:r>
          </w:p>
        </w:tc>
      </w:tr>
    </w:tbl>
    <w:p w14:paraId="58AACFD5" w14:textId="77777777" w:rsidR="00CF4572" w:rsidRPr="006220B7" w:rsidRDefault="00CF457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84AD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6220B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6220B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50411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41EAB181" w:rsidR="00F50411" w:rsidRPr="00F50411" w:rsidRDefault="00AB1BFD" w:rsidP="0092024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Проектируемый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-д 5402,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45A27D3C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29EAD927" w:rsidR="00F50411" w:rsidRPr="00F50411" w:rsidRDefault="00F50411" w:rsidP="0092024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50411">
              <w:rPr>
                <w:rFonts w:hAnsi="Times New Roman" w:cs="Times New Roman"/>
                <w:sz w:val="24"/>
                <w:szCs w:val="24"/>
              </w:rPr>
              <w:t>Бесединское</w:t>
            </w:r>
            <w:proofErr w:type="spellEnd"/>
            <w:r w:rsidRPr="00F50411">
              <w:rPr>
                <w:rFonts w:hAnsi="Times New Roman" w:cs="Times New Roman"/>
                <w:sz w:val="24"/>
                <w:szCs w:val="24"/>
              </w:rPr>
              <w:t xml:space="preserve"> ш.</w:t>
            </w:r>
            <w:r w:rsidR="0092024B">
              <w:rPr>
                <w:rFonts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6F77BBFF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F21BA0C" w:rsidR="00F50411" w:rsidRPr="00F50411" w:rsidRDefault="00F50411" w:rsidP="0092024B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МКАД</w:t>
            </w:r>
            <w:r w:rsidR="0092024B">
              <w:rPr>
                <w:rFonts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38834101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467974FF" w:rsidR="00F50411" w:rsidRPr="00F50411" w:rsidRDefault="00AB1BFD" w:rsidP="0092024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2BB44DF8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44A54322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7E1161BD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4A964358" w:rsidR="00F50411" w:rsidRPr="00F50411" w:rsidRDefault="00F50411" w:rsidP="006220B7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4F34A22E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484A038D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2378B2F2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068ECA8B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37CE2573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0703681A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06C5B22F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717B4E08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5E8B106B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167F0748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19F222B9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587E6B7F" w:rsidR="00F50411" w:rsidRPr="00F50411" w:rsidRDefault="00AB1BFD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</w:t>
            </w:r>
            <w:r w:rsidR="00F50411" w:rsidRPr="00F50411">
              <w:rPr>
                <w:rFonts w:hAnsi="Times New Roman" w:cs="Times New Roman"/>
                <w:sz w:val="24"/>
                <w:szCs w:val="24"/>
              </w:rPr>
              <w:t>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74CA5984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3FDCC1D0" w:rsidR="00F50411" w:rsidRPr="00F50411" w:rsidRDefault="00F50411" w:rsidP="006220B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50411"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 w:rsidRPr="00F50411">
              <w:rPr>
                <w:rFonts w:hAnsi="Times New Roman" w:cs="Times New Roman"/>
                <w:sz w:val="24"/>
                <w:szCs w:val="24"/>
              </w:rPr>
              <w:t xml:space="preserve"> ш</w:t>
            </w:r>
            <w:r w:rsidR="00AB1BFD">
              <w:rPr>
                <w:rFonts w:hAnsi="Times New Roman" w:cs="Times New Roman"/>
                <w:sz w:val="24"/>
                <w:szCs w:val="24"/>
              </w:rPr>
              <w:t>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4C5F15C0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78CD472C" w:rsidR="00F50411" w:rsidRPr="00F50411" w:rsidRDefault="00AB1BFD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5D43CFCE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201A22D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2ECFB6AE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F50411" w:rsidRPr="006220B7" w:rsidRDefault="00F50411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2378C789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522541B" w:rsidR="00F50411" w:rsidRPr="00F50411" w:rsidRDefault="00F50411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666F07EA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606F60E4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396DAF99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0251821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4FA63240" w:rsidR="00F50411" w:rsidRPr="00F50411" w:rsidRDefault="00AB1BFD" w:rsidP="00CE346B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наб. Гейдара Алиева,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12E18BCE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33614244" w:rsidR="00F50411" w:rsidRPr="00F50411" w:rsidRDefault="00AB1BFD" w:rsidP="00AB1BFD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Правая наб., </w:t>
            </w:r>
            <w:r w:rsidR="00F50411" w:rsidRPr="00F50411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59AA4A7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70EC9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04BE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FB3D5" w14:textId="7BFDF9DB" w:rsidR="00F50411" w:rsidRPr="00F50411" w:rsidRDefault="00AB1BFD" w:rsidP="00CE346B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2BECE" w14:textId="2A4D1F2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0977AC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327D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5C444" w14:textId="0EF38029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76341" w14:textId="48269952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5A34FF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F56F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08FAD" w14:textId="2137195F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Гулиа,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485FC" w14:textId="646FDD24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5FB8C7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DF81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3020" w14:textId="126A2E49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AC8" w14:textId="6235F727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5C705F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3FDB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0A3E7" w14:textId="673EB0CB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Гулуа,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CAB9B" w14:textId="5AC6C8FD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1ED53C8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F9DC9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0CE0" w14:textId="10E54EE2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Вахтанга Горгасали,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BB395" w14:textId="47585EA0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157F27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D340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FE50" w14:textId="0DCDA854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Звиада Гамсахурдиа,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02884" w14:textId="53F3FBA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6FCDD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64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D38A" w14:textId="36BC931A" w:rsidR="00F50411" w:rsidRPr="00F50411" w:rsidRDefault="00AB1BFD" w:rsidP="00AB1BF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Правая наб.,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E7C" w14:textId="7105CC8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7FF767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E2BF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8870" w14:textId="3B3490BE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наб. Гейдара Алиева, </w:t>
            </w:r>
            <w:r w:rsidR="00F50411" w:rsidRPr="00F50411">
              <w:rPr>
                <w:rFonts w:hAnsi="Times New Roman" w:cs="Times New Roman"/>
                <w:sz w:val="24"/>
                <w:szCs w:val="24"/>
              </w:rPr>
              <w:t>г. Тбилис</w:t>
            </w:r>
            <w:r>
              <w:rPr>
                <w:rFonts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FC5D" w14:textId="2A8A8E1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214C2C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D4E9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D91DC" w14:textId="446EA2A3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80F0" w14:textId="730352CA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48852E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E09D0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2349" w14:textId="475383B9" w:rsidR="00F50411" w:rsidRPr="00F50411" w:rsidRDefault="00AB1BFD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A699" w14:textId="53CBEFFF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350399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F603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9D5F" w14:textId="51C2EB7E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F58A" w14:textId="3DD12328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F50411" w:rsidRPr="006220B7" w14:paraId="00CD3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CD8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5737" w14:textId="1B3E7BF7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AD47" w14:textId="472682AE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9C2E5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44B6B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E0E28" w14:textId="74DB3F59" w:rsidR="00F50411" w:rsidRPr="00F50411" w:rsidRDefault="00AB1BFD" w:rsidP="00AB1BFD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8D" w14:textId="07801BF1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40F5BC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FAAE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3E736" w14:textId="6840C7D7" w:rsidR="00F50411" w:rsidRPr="00F50411" w:rsidRDefault="00AB1BFD" w:rsidP="00AB1BFD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9E227" w14:textId="59ACC32F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62FF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3C1C7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DD86A" w14:textId="53C8D085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454A5" w14:textId="59F44E1D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582F60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8AAE2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0980F" w14:textId="0C659989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6704F" w14:textId="30BFDEEF" w:rsidR="00F50411" w:rsidRPr="00F50411" w:rsidRDefault="00F50411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077507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09264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CDEAB" w14:textId="4BD83936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725E1" w14:textId="4117A3E9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69E58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D95C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25378" w14:textId="42F7EC93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91382" w14:textId="3C3B8F75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EEAA7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9AAF4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0EA9" w14:textId="53FB3CFE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2FD3" w14:textId="685FACAB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3B0567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BE2FD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FC879" w14:textId="39701881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9C27" w14:textId="1C68D46C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46D68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D9D94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EC44" w14:textId="7CA9F89D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EBAB3" w14:textId="1FB3A6E2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2B88587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8C068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A3769" w14:textId="4A15EBB7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CAAFC" w14:textId="4600AD7D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52F6B5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0BC5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15F4D" w14:textId="3754DDBB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20BE6" w14:textId="2C8CFA57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1E31DC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C70FD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7A4D4" w14:textId="07760587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B29DE" w14:textId="5F1AF7DD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6FF5D0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D80FA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9DD18" w14:textId="1DBD97AB" w:rsidR="00F50411" w:rsidRPr="00F50411" w:rsidRDefault="00AB1BFD" w:rsidP="00AB1BFD">
            <w:pPr>
              <w:rPr>
                <w:rStyle w:val="FontStyle13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Бесединское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3DF9A" w14:textId="2BA59E17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F50411" w:rsidRPr="006220B7" w14:paraId="588CF5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0262B" w14:textId="77777777" w:rsidR="00F50411" w:rsidRPr="006220B7" w:rsidRDefault="00F50411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533FC" w14:textId="5C79C086" w:rsidR="00F50411" w:rsidRPr="00F50411" w:rsidRDefault="00AB1BFD" w:rsidP="008A1C40">
            <w:pPr>
              <w:rPr>
                <w:rStyle w:val="FontStyle13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Проектируемый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-д 5402,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827D6" w14:textId="46FFC4F5" w:rsidR="00F50411" w:rsidRPr="00F50411" w:rsidRDefault="00F50411" w:rsidP="008A1C40">
            <w:pPr>
              <w:rPr>
                <w:rStyle w:val="FontStyle13"/>
                <w:sz w:val="24"/>
                <w:szCs w:val="24"/>
              </w:rPr>
            </w:pPr>
            <w:r w:rsidRPr="00F50411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097D8F" w:rsidRPr="006220B7" w14:paraId="056AFBC1" w14:textId="77777777" w:rsidTr="004266A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C8A3CB8" w:rsidR="00097D8F" w:rsidRPr="001C63BA" w:rsidRDefault="00AB1BFD" w:rsidP="00AB1BFD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 «Южные ворота»</w:t>
            </w:r>
            <w:r w:rsidR="0092024B">
              <w:rPr>
                <w:rFonts w:hAnsi="Times New Roman" w:cs="Times New Roman"/>
                <w:sz w:val="24"/>
                <w:szCs w:val="24"/>
                <w:lang w:bidi="ru-RU"/>
              </w:rPr>
              <w:t>,</w:t>
            </w: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39B" w14:textId="78DCAA75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5A55A84C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</w:t>
            </w:r>
            <w:r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45E9023A" w:rsidR="00097D8F" w:rsidRPr="006220B7" w:rsidRDefault="00097D8F" w:rsidP="00097D8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500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97D8F" w:rsidRPr="006220B7" w14:paraId="4C841764" w14:textId="77777777" w:rsidTr="00295E4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C4C" w14:textId="22D8F932" w:rsidR="00097D8F" w:rsidRPr="001C63BA" w:rsidRDefault="00097D8F" w:rsidP="00097D8F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E482FC5" w:rsidR="00097D8F" w:rsidRPr="001C63BA" w:rsidRDefault="00AB1BFD" w:rsidP="00AB1BFD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 «Южные ворота»</w:t>
            </w:r>
            <w:r w:rsidR="0092024B">
              <w:rPr>
                <w:rFonts w:hAnsi="Times New Roman" w:cs="Times New Roman"/>
                <w:sz w:val="24"/>
                <w:szCs w:val="24"/>
                <w:lang w:bidi="ru-RU"/>
              </w:rPr>
              <w:t>,</w:t>
            </w:r>
            <w:r w:rsidRPr="00AB1BFD">
              <w:rPr>
                <w:rFonts w:hAnsi="Times New Roman" w:cs="Times New Roman"/>
                <w:sz w:val="24"/>
                <w:szCs w:val="24"/>
                <w:lang w:bidi="ru-RU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1B550CDD" w:rsidR="00097D8F" w:rsidRPr="006220B7" w:rsidRDefault="00097D8F" w:rsidP="00AB1BF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AB1BFD">
              <w:rPr>
                <w:rFonts w:hAnsi="Times New Roman" w:cs="Times New Roman"/>
                <w:sz w:val="24"/>
                <w:szCs w:val="24"/>
              </w:rPr>
              <w:t>50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003A2CAF" w:rsidR="00097D8F" w:rsidRPr="006220B7" w:rsidRDefault="00097D8F" w:rsidP="00AB1BF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AB1BFD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(управомоченный):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42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08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BCBE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1126D5" w:rsidRPr="006220B7" w14:paraId="607A7166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A36AF7D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5BA58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Pr="006220B7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33EB83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0D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A9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980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65B3DBE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8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6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A3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6D5" w:rsidRPr="006220B7" w14:paraId="092AE759" w14:textId="77777777" w:rsidTr="00AB190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26C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116" w14:textId="37936C79" w:rsidR="001126D5" w:rsidRPr="006220B7" w:rsidRDefault="00AB1BFD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1964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DFA08E3" w14:textId="77777777" w:rsidR="00095793" w:rsidRPr="006220B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2A260AC0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AD7C51">
        <w:rPr>
          <w:rFonts w:hAnsi="Times New Roman" w:cs="Times New Roman"/>
          <w:sz w:val="24"/>
          <w:szCs w:val="24"/>
        </w:rPr>
        <w:t>11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D7C51">
        <w:rPr>
          <w:rFonts w:hAnsi="Times New Roman" w:cs="Times New Roman"/>
          <w:sz w:val="24"/>
          <w:szCs w:val="24"/>
        </w:rPr>
        <w:t>8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04BC2DB1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AD7C51">
        <w:rPr>
          <w:rFonts w:hAnsi="Times New Roman" w:cs="Times New Roman"/>
          <w:sz w:val="24"/>
          <w:szCs w:val="24"/>
        </w:rPr>
        <w:t>11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D7C51">
        <w:rPr>
          <w:rFonts w:hAnsi="Times New Roman" w:cs="Times New Roman"/>
          <w:sz w:val="24"/>
          <w:szCs w:val="24"/>
        </w:rPr>
        <w:t>8</w:t>
      </w:r>
      <w:r w:rsidR="000D1096" w:rsidRPr="006220B7">
        <w:rPr>
          <w:rFonts w:hAnsi="Times New Roman" w:cs="Times New Roman"/>
          <w:sz w:val="24"/>
          <w:szCs w:val="24"/>
        </w:rPr>
        <w:t>.2030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7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160F"/>
    <w:rsid w:val="00014300"/>
    <w:rsid w:val="00014F36"/>
    <w:rsid w:val="000312FC"/>
    <w:rsid w:val="000479D5"/>
    <w:rsid w:val="00050755"/>
    <w:rsid w:val="000629EC"/>
    <w:rsid w:val="00095793"/>
    <w:rsid w:val="00097D8F"/>
    <w:rsid w:val="000D1096"/>
    <w:rsid w:val="000E21B6"/>
    <w:rsid w:val="001126D5"/>
    <w:rsid w:val="001A0676"/>
    <w:rsid w:val="001C63BA"/>
    <w:rsid w:val="001E28B7"/>
    <w:rsid w:val="001F2071"/>
    <w:rsid w:val="001F57EE"/>
    <w:rsid w:val="002024BE"/>
    <w:rsid w:val="00211F77"/>
    <w:rsid w:val="00263568"/>
    <w:rsid w:val="002A55A8"/>
    <w:rsid w:val="002F1E6C"/>
    <w:rsid w:val="002F60F4"/>
    <w:rsid w:val="00317DA7"/>
    <w:rsid w:val="00325557"/>
    <w:rsid w:val="003461CC"/>
    <w:rsid w:val="00365C58"/>
    <w:rsid w:val="003C7B0D"/>
    <w:rsid w:val="00412D37"/>
    <w:rsid w:val="0045388C"/>
    <w:rsid w:val="004C590F"/>
    <w:rsid w:val="004D70B8"/>
    <w:rsid w:val="00520AD5"/>
    <w:rsid w:val="005322B8"/>
    <w:rsid w:val="00561B19"/>
    <w:rsid w:val="00570615"/>
    <w:rsid w:val="00574AF3"/>
    <w:rsid w:val="005E4A53"/>
    <w:rsid w:val="006220B7"/>
    <w:rsid w:val="00627D28"/>
    <w:rsid w:val="0068079D"/>
    <w:rsid w:val="00684AD2"/>
    <w:rsid w:val="006A20ED"/>
    <w:rsid w:val="006A4C02"/>
    <w:rsid w:val="007471C9"/>
    <w:rsid w:val="00752F6E"/>
    <w:rsid w:val="007E002A"/>
    <w:rsid w:val="00865241"/>
    <w:rsid w:val="00865694"/>
    <w:rsid w:val="008A1C40"/>
    <w:rsid w:val="008C0BCB"/>
    <w:rsid w:val="0092024B"/>
    <w:rsid w:val="0092104B"/>
    <w:rsid w:val="00921CE9"/>
    <w:rsid w:val="0092481D"/>
    <w:rsid w:val="009A3FA9"/>
    <w:rsid w:val="00AB046D"/>
    <w:rsid w:val="00AB190B"/>
    <w:rsid w:val="00AB1BFD"/>
    <w:rsid w:val="00AC7213"/>
    <w:rsid w:val="00AD7C51"/>
    <w:rsid w:val="00B03D1C"/>
    <w:rsid w:val="00B31BCB"/>
    <w:rsid w:val="00B63834"/>
    <w:rsid w:val="00B74097"/>
    <w:rsid w:val="00BD38A7"/>
    <w:rsid w:val="00BD65E9"/>
    <w:rsid w:val="00BE0D26"/>
    <w:rsid w:val="00C03111"/>
    <w:rsid w:val="00C07689"/>
    <w:rsid w:val="00C46727"/>
    <w:rsid w:val="00C854EC"/>
    <w:rsid w:val="00C86B64"/>
    <w:rsid w:val="00CE346B"/>
    <w:rsid w:val="00CF1053"/>
    <w:rsid w:val="00CF1F7A"/>
    <w:rsid w:val="00CF4572"/>
    <w:rsid w:val="00D03759"/>
    <w:rsid w:val="00D12EA4"/>
    <w:rsid w:val="00D2361D"/>
    <w:rsid w:val="00D27663"/>
    <w:rsid w:val="00D3133F"/>
    <w:rsid w:val="00D95CFE"/>
    <w:rsid w:val="00DA3F00"/>
    <w:rsid w:val="00DA7C1C"/>
    <w:rsid w:val="00DE0595"/>
    <w:rsid w:val="00E13FB8"/>
    <w:rsid w:val="00E27975"/>
    <w:rsid w:val="00E4572C"/>
    <w:rsid w:val="00EA159F"/>
    <w:rsid w:val="00EB26A6"/>
    <w:rsid w:val="00EB704F"/>
    <w:rsid w:val="00EC0D69"/>
    <w:rsid w:val="00F50411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3F4A3EE5-0201-472A-BA8E-64C45E76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character" w:customStyle="1" w:styleId="FontStyle13">
    <w:name w:val="Font Style13"/>
    <w:basedOn w:val="a0"/>
    <w:uiPriority w:val="99"/>
    <w:rsid w:val="0001160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E8CF0-19B3-4AAC-8F02-426E5438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</cp:revision>
  <cp:lastPrinted>2023-04-04T11:36:00Z</cp:lastPrinted>
  <dcterms:created xsi:type="dcterms:W3CDTF">2024-07-10T12:06:00Z</dcterms:created>
  <dcterms:modified xsi:type="dcterms:W3CDTF">2024-07-12T13:21:00Z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