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Чаплынка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Чаплынка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