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4A8B" w:rsidRPr="00F52B1C" w:rsidRDefault="00144A8B" w:rsidP="00144A8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B1C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144A8B" w:rsidRPr="00F52B1C" w:rsidRDefault="00144A8B" w:rsidP="00144A8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F52B1C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144A8B" w:rsidP="00144A8B">
      <w:pPr>
        <w:spacing w:after="0" w:line="240" w:lineRule="auto"/>
        <w:jc w:val="center"/>
      </w:pPr>
      <w:r w:rsidRPr="00F52B1C">
        <w:rPr>
          <w:rFonts w:ascii="Times New Roman" w:hAnsi="Times New Roman"/>
          <w:b/>
          <w:bCs/>
          <w:sz w:val="28"/>
        </w:rPr>
        <w:t>№ 2424-p в</w:t>
      </w:r>
      <w:r>
        <w:rPr>
          <w:rFonts w:ascii="Times New Roman" w:hAnsi="Times New Roman"/>
          <w:b/>
          <w:bCs/>
          <w:sz w:val="28"/>
        </w:rPr>
        <w:t>о</w:t>
      </w:r>
      <w:r w:rsidRPr="00F52B1C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втором</w:t>
      </w:r>
      <w:r>
        <w:rPr>
          <w:rFonts w:ascii="Times New Roman" w:hAnsi="Times New Roman"/>
          <w:b/>
          <w:bCs/>
          <w:sz w:val="28"/>
        </w:rPr>
        <w:t xml:space="preserve"> квартале</w:t>
      </w:r>
      <w:r w:rsidRPr="00F52B1C">
        <w:rPr>
          <w:rFonts w:ascii="Times New Roman" w:hAnsi="Times New Roman"/>
          <w:b/>
          <w:bCs/>
          <w:sz w:val="28"/>
        </w:rPr>
        <w:t xml:space="preserve"> 202</w:t>
      </w:r>
      <w:r>
        <w:rPr>
          <w:rFonts w:ascii="Times New Roman" w:hAnsi="Times New Roman"/>
          <w:b/>
          <w:bCs/>
          <w:sz w:val="28"/>
        </w:rPr>
        <w:t>4</w:t>
      </w:r>
      <w:r w:rsidRPr="00F52B1C">
        <w:rPr>
          <w:rFonts w:ascii="Times New Roman" w:hAnsi="Times New Roman"/>
          <w:b/>
          <w:bCs/>
          <w:sz w:val="28"/>
        </w:rPr>
        <w:t xml:space="preserve">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исключением видов экономической деятельности «Деятельность трубопроводного транспорта» и «Деятельность почтовой связи</w:t>
      </w:r>
      <w:r w:rsidR="00A362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>по состоянию</w:t>
      </w:r>
      <w:r w:rsidR="0012396A" w:rsidRPr="00F01CD8"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F01CD8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F01CD8">
        <w:rPr>
          <w:rFonts w:ascii="Times New Roman" w:hAnsi="Times New Roman"/>
          <w:sz w:val="28"/>
          <w:szCs w:val="28"/>
        </w:rPr>
        <w:t>−</w:t>
      </w:r>
      <w:r w:rsidRPr="00F01CD8">
        <w:rPr>
          <w:rFonts w:ascii="Times New Roman" w:hAnsi="Times New Roman"/>
          <w:sz w:val="28"/>
          <w:szCs w:val="28"/>
        </w:rPr>
        <w:t xml:space="preserve"> 2,44 %,</w:t>
      </w:r>
      <w:r w:rsidR="000D48F3" w:rsidRPr="00F01CD8">
        <w:rPr>
          <w:rFonts w:ascii="Times New Roman" w:hAnsi="Times New Roman"/>
          <w:sz w:val="28"/>
          <w:szCs w:val="28"/>
        </w:rPr>
        <w:t xml:space="preserve"> </w:t>
      </w:r>
      <w:r w:rsidR="0012396A" w:rsidRPr="00F01CD8">
        <w:rPr>
          <w:rFonts w:ascii="Times New Roman" w:hAnsi="Times New Roman"/>
          <w:sz w:val="28"/>
          <w:szCs w:val="28"/>
        </w:rPr>
        <w:br/>
      </w:r>
      <w:r w:rsidRPr="00F01CD8">
        <w:rPr>
          <w:rFonts w:ascii="Times New Roman" w:hAnsi="Times New Roman"/>
          <w:sz w:val="28"/>
          <w:szCs w:val="28"/>
        </w:rPr>
        <w:t xml:space="preserve">на 1 </w:t>
      </w:r>
      <w:r w:rsidR="00957185" w:rsidRPr="00F01CD8">
        <w:rPr>
          <w:rFonts w:ascii="Times New Roman" w:hAnsi="Times New Roman"/>
          <w:sz w:val="28"/>
          <w:szCs w:val="28"/>
        </w:rPr>
        <w:t>января 2023</w:t>
      </w:r>
      <w:r w:rsidRPr="00F01CD8">
        <w:rPr>
          <w:rFonts w:ascii="Times New Roman" w:hAnsi="Times New Roman"/>
          <w:sz w:val="28"/>
          <w:szCs w:val="28"/>
        </w:rPr>
        <w:t xml:space="preserve"> г. − 2,3</w:t>
      </w:r>
      <w:r w:rsidR="00957185" w:rsidRPr="00F01CD8">
        <w:rPr>
          <w:rFonts w:ascii="Times New Roman" w:hAnsi="Times New Roman"/>
          <w:sz w:val="28"/>
          <w:szCs w:val="28"/>
        </w:rPr>
        <w:t>0</w:t>
      </w:r>
      <w:r w:rsidR="007070D2" w:rsidRPr="00F01CD8">
        <w:rPr>
          <w:rFonts w:ascii="Times New Roman" w:hAnsi="Times New Roman"/>
          <w:sz w:val="28"/>
          <w:szCs w:val="28"/>
        </w:rPr>
        <w:t xml:space="preserve"> </w:t>
      </w:r>
      <w:r w:rsidR="00AF6B1A">
        <w:rPr>
          <w:rFonts w:ascii="Times New Roman" w:hAnsi="Times New Roman"/>
          <w:sz w:val="28"/>
          <w:szCs w:val="28"/>
        </w:rPr>
        <w:t xml:space="preserve">%, </w:t>
      </w:r>
      <w:r w:rsidR="00494F25" w:rsidRPr="003F2507">
        <w:rPr>
          <w:rFonts w:ascii="Times New Roman" w:hAnsi="Times New Roman"/>
          <w:sz w:val="28"/>
          <w:szCs w:val="28"/>
        </w:rPr>
        <w:t>на 1 января 2024 г. – 2,2</w:t>
      </w:r>
      <w:r w:rsidR="00B60CD0" w:rsidRPr="003F2507">
        <w:rPr>
          <w:rFonts w:ascii="Times New Roman" w:hAnsi="Times New Roman"/>
          <w:sz w:val="28"/>
          <w:szCs w:val="28"/>
        </w:rPr>
        <w:t>0</w:t>
      </w:r>
      <w:r w:rsidR="00494F25" w:rsidRPr="003F2507">
        <w:rPr>
          <w:rFonts w:ascii="Times New Roman" w:hAnsi="Times New Roman"/>
          <w:sz w:val="28"/>
          <w:szCs w:val="28"/>
        </w:rPr>
        <w:t xml:space="preserve"> %</w:t>
      </w:r>
      <w:r w:rsidR="00C838D9" w:rsidRPr="003F2507">
        <w:rPr>
          <w:rFonts w:ascii="Times New Roman" w:hAnsi="Times New Roman"/>
          <w:sz w:val="28"/>
          <w:szCs w:val="28"/>
        </w:rPr>
        <w:t>, на 1 апрел</w:t>
      </w:r>
      <w:r w:rsidR="005F6AE3" w:rsidRPr="003F2507">
        <w:rPr>
          <w:rFonts w:ascii="Times New Roman" w:hAnsi="Times New Roman"/>
          <w:sz w:val="28"/>
          <w:szCs w:val="28"/>
        </w:rPr>
        <w:t>я 2024 г. – 2,19</w:t>
      </w:r>
      <w:r w:rsidR="00C838D9" w:rsidRPr="003F2507">
        <w:rPr>
          <w:rFonts w:ascii="Times New Roman" w:hAnsi="Times New Roman"/>
          <w:sz w:val="28"/>
          <w:szCs w:val="28"/>
        </w:rPr>
        <w:t xml:space="preserve"> %</w:t>
      </w:r>
      <w:r w:rsidR="00F324C0" w:rsidRPr="003F2507">
        <w:rPr>
          <w:rFonts w:ascii="Times New Roman" w:hAnsi="Times New Roman"/>
          <w:sz w:val="28"/>
          <w:szCs w:val="28"/>
        </w:rPr>
        <w:t>.</w:t>
      </w:r>
    </w:p>
    <w:p w:rsidR="00AD08D1" w:rsidRPr="007C5884" w:rsidRDefault="00AD08D1" w:rsidP="00AD08D1">
      <w:pPr>
        <w:pStyle w:val="a1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Вместе с тем</w:t>
      </w:r>
      <w:r>
        <w:rPr>
          <w:rFonts w:ascii="Times New Roman" w:hAnsi="Times New Roman"/>
          <w:sz w:val="28"/>
          <w:szCs w:val="28"/>
        </w:rPr>
        <w:t xml:space="preserve"> отмечаем, что в соответствии с данными, предоставленными Росстатом о количестве и доле юридических лиц по Российской Федерации государственной формы собственности, федеральной формы собственности, собственности субъектов Российской Федерации, муниципальной формы собственности, заявивших при государственной регистрации код вида экономической деятельности ОКВЭД 2  49.31.21 «Регулярные перевозки пассажиров автобусами в городском и пригородном сообщении» в качестве основного,</w:t>
      </w:r>
      <w:r>
        <w:rPr>
          <w:rFonts w:ascii="Times New Roman" w:hAnsi="Times New Roman"/>
          <w:sz w:val="28"/>
          <w:szCs w:val="28"/>
        </w:rPr>
        <w:br/>
        <w:t xml:space="preserve">по состоянию </w:t>
      </w:r>
      <w:r w:rsidRPr="007C5884">
        <w:rPr>
          <w:rFonts w:ascii="Times New Roman" w:hAnsi="Times New Roman"/>
          <w:sz w:val="28"/>
          <w:szCs w:val="28"/>
        </w:rPr>
        <w:t>на 1</w:t>
      </w:r>
      <w:r w:rsidR="006C3F53">
        <w:rPr>
          <w:rFonts w:ascii="Times New Roman" w:hAnsi="Times New Roman"/>
          <w:sz w:val="28"/>
          <w:szCs w:val="28"/>
        </w:rPr>
        <w:t xml:space="preserve"> апреля </w:t>
      </w:r>
      <w:r w:rsidRPr="007C5884">
        <w:rPr>
          <w:rFonts w:ascii="Times New Roman" w:hAnsi="Times New Roman"/>
          <w:sz w:val="28"/>
          <w:szCs w:val="28"/>
        </w:rPr>
        <w:t>202</w:t>
      </w:r>
      <w:r w:rsidR="00D6113B">
        <w:rPr>
          <w:rFonts w:ascii="Times New Roman" w:hAnsi="Times New Roman"/>
          <w:sz w:val="28"/>
          <w:szCs w:val="28"/>
        </w:rPr>
        <w:t>4</w:t>
      </w:r>
      <w:r w:rsidRPr="007C5884">
        <w:rPr>
          <w:rFonts w:ascii="Times New Roman" w:hAnsi="Times New Roman"/>
          <w:sz w:val="28"/>
          <w:szCs w:val="28"/>
        </w:rPr>
        <w:t xml:space="preserve"> г. доля организаций с государственным </w:t>
      </w:r>
      <w:r>
        <w:rPr>
          <w:rFonts w:ascii="Times New Roman" w:hAnsi="Times New Roman"/>
          <w:sz w:val="28"/>
          <w:szCs w:val="28"/>
        </w:rPr>
        <w:br/>
      </w:r>
      <w:r w:rsidRPr="007C5884">
        <w:rPr>
          <w:rFonts w:ascii="Times New Roman" w:hAnsi="Times New Roman"/>
          <w:sz w:val="28"/>
          <w:szCs w:val="28"/>
        </w:rPr>
        <w:t>и муниципальным участием состав</w:t>
      </w:r>
      <w:r w:rsidR="00DE1905">
        <w:rPr>
          <w:rFonts w:ascii="Times New Roman" w:hAnsi="Times New Roman"/>
          <w:sz w:val="28"/>
          <w:szCs w:val="28"/>
        </w:rPr>
        <w:t>ила</w:t>
      </w:r>
      <w:r w:rsidRPr="007C5884">
        <w:rPr>
          <w:rFonts w:ascii="Times New Roman" w:hAnsi="Times New Roman"/>
          <w:sz w:val="28"/>
          <w:szCs w:val="28"/>
        </w:rPr>
        <w:t xml:space="preserve"> 1</w:t>
      </w:r>
      <w:r w:rsidR="002C600F">
        <w:rPr>
          <w:rFonts w:ascii="Times New Roman" w:hAnsi="Times New Roman"/>
          <w:sz w:val="28"/>
          <w:szCs w:val="28"/>
        </w:rPr>
        <w:t>5</w:t>
      </w:r>
      <w:r w:rsidRPr="007C5884">
        <w:rPr>
          <w:rFonts w:ascii="Times New Roman" w:hAnsi="Times New Roman"/>
          <w:sz w:val="28"/>
          <w:szCs w:val="28"/>
        </w:rPr>
        <w:t>,</w:t>
      </w:r>
      <w:r w:rsidR="002C600F">
        <w:rPr>
          <w:rFonts w:ascii="Times New Roman" w:hAnsi="Times New Roman"/>
          <w:sz w:val="28"/>
          <w:szCs w:val="28"/>
        </w:rPr>
        <w:t>9</w:t>
      </w:r>
      <w:r w:rsidRPr="007C5884">
        <w:rPr>
          <w:rFonts w:ascii="Times New Roman" w:hAnsi="Times New Roman"/>
          <w:sz w:val="28"/>
          <w:szCs w:val="28"/>
        </w:rPr>
        <w:t xml:space="preserve"> %. </w:t>
      </w:r>
    </w:p>
    <w:p w:rsidR="00E17CD5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</w:t>
      </w:r>
      <w:r w:rsidR="00CC3B4C">
        <w:rPr>
          <w:rFonts w:ascii="Times New Roman" w:hAnsi="Times New Roman"/>
          <w:i/>
          <w:iCs/>
          <w:sz w:val="28"/>
          <w:szCs w:val="28"/>
        </w:rPr>
        <w:t>оказател</w:t>
      </w:r>
      <w:r>
        <w:rPr>
          <w:rFonts w:ascii="Times New Roman" w:hAnsi="Times New Roman"/>
          <w:i/>
          <w:iCs/>
          <w:sz w:val="28"/>
          <w:szCs w:val="28"/>
        </w:rPr>
        <w:t>ь</w:t>
      </w:r>
      <w:r w:rsidR="00CC3B4C">
        <w:rPr>
          <w:rFonts w:ascii="Times New Roman" w:hAnsi="Times New Roman"/>
          <w:i/>
          <w:iCs/>
          <w:sz w:val="28"/>
          <w:szCs w:val="28"/>
        </w:rPr>
        <w:t> 2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="00CC3B4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>
        <w:rPr>
          <w:rFonts w:ascii="Times New Roman" w:hAnsi="Times New Roman"/>
          <w:i/>
          <w:iCs/>
          <w:sz w:val="28"/>
          <w:szCs w:val="28"/>
        </w:rPr>
        <w:t>«</w:t>
      </w:r>
      <w:r w:rsidR="00CC3B4C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144A8B" w:rsidRDefault="00144A8B" w:rsidP="00144A8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D4251B">
        <w:rPr>
          <w:rFonts w:ascii="Times New Roman" w:hAnsi="Times New Roman"/>
          <w:iCs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 xml:space="preserve">в Минтранс России письмом Росстата от 15 августа 2023 г. № ЕЧ-07-06/2761-МВ,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 xml:space="preserve">и данными ЕМИСС в 2022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2,9 млн человек (в 2021 году – </w:t>
      </w:r>
      <w:r>
        <w:rPr>
          <w:rFonts w:ascii="Times New Roman" w:hAnsi="Times New Roman"/>
          <w:iCs/>
          <w:sz w:val="28"/>
          <w:szCs w:val="28"/>
        </w:rPr>
        <w:br/>
      </w:r>
      <w:r w:rsidRPr="00D4251B">
        <w:rPr>
          <w:rFonts w:ascii="Times New Roman" w:hAnsi="Times New Roman"/>
          <w:iCs/>
          <w:sz w:val="28"/>
          <w:szCs w:val="28"/>
        </w:rPr>
        <w:t>2,8 млн человек, в 2020 году – 2,7 млн человек).</w:t>
      </w:r>
    </w:p>
    <w:p w:rsidR="00144A8B" w:rsidRDefault="00144A8B" w:rsidP="00144A8B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  <w:r w:rsidRPr="00C070ED">
        <w:rPr>
          <w:rFonts w:ascii="Times New Roman" w:hAnsi="Times New Roman"/>
          <w:iCs/>
          <w:sz w:val="28"/>
          <w:szCs w:val="28"/>
        </w:rPr>
        <w:t>Соответствующая информация за 202</w:t>
      </w:r>
      <w:r>
        <w:rPr>
          <w:rFonts w:ascii="Times New Roman" w:hAnsi="Times New Roman"/>
          <w:iCs/>
          <w:sz w:val="28"/>
          <w:szCs w:val="28"/>
        </w:rPr>
        <w:t>3</w:t>
      </w:r>
      <w:r w:rsidRPr="00C070ED">
        <w:rPr>
          <w:rFonts w:ascii="Times New Roman" w:hAnsi="Times New Roman"/>
          <w:iCs/>
          <w:sz w:val="28"/>
          <w:szCs w:val="28"/>
        </w:rPr>
        <w:t xml:space="preserve"> год будет рассчитана после поступления данных Росстата о среднегодовой численности занятых в экономике Российской Федерации по видам экономической деятельности за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C070ED">
        <w:rPr>
          <w:rFonts w:ascii="Times New Roman" w:hAnsi="Times New Roman"/>
          <w:iCs/>
          <w:sz w:val="28"/>
          <w:szCs w:val="28"/>
        </w:rPr>
        <w:t>−202</w:t>
      </w:r>
      <w:r>
        <w:rPr>
          <w:rFonts w:ascii="Times New Roman" w:hAnsi="Times New Roman"/>
          <w:iCs/>
          <w:sz w:val="28"/>
          <w:szCs w:val="28"/>
        </w:rPr>
        <w:t>3</w:t>
      </w:r>
      <w:r w:rsidRPr="00C070ED">
        <w:rPr>
          <w:rFonts w:ascii="Times New Roman" w:hAnsi="Times New Roman"/>
          <w:iCs/>
          <w:sz w:val="28"/>
          <w:szCs w:val="28"/>
        </w:rPr>
        <w:t xml:space="preserve"> годы для разработки прогноза баланса трудовых ресурсов.</w:t>
      </w:r>
    </w:p>
    <w:p w:rsidR="00CC3B4C" w:rsidRDefault="00CC3B4C" w:rsidP="007E1219">
      <w:pPr>
        <w:spacing w:after="0" w:line="240" w:lineRule="auto"/>
        <w:ind w:firstLine="680"/>
        <w:jc w:val="both"/>
        <w:rPr>
          <w:rFonts w:ascii="Times New Roman" w:hAnsi="Times New Roman"/>
          <w:iCs/>
          <w:sz w:val="28"/>
          <w:szCs w:val="28"/>
        </w:rPr>
      </w:pPr>
    </w:p>
    <w:p w:rsidR="00406ABE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044D64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044D6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4D64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B46632" w:rsidRDefault="00B46632" w:rsidP="00B4663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подготовки отчета о ходе достижения данного показателя Минтрансом России подготовлен запрос в соответствующие акционерные общества о представлении информации относительно уровня указанного показателя в 2020, 2021, 2022 и 2023 годах.</w:t>
      </w:r>
    </w:p>
    <w:p w:rsidR="00B46632" w:rsidRDefault="00B46632" w:rsidP="00B46632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запросом в Минтранс России поступила информация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ОАО «РЖД», АО «ГТЛК»,</w:t>
      </w:r>
      <w:r w:rsidRPr="00D47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ПАО «Новороссийский морской торговый порт»,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АО «Международный аэропорт Шереметьево», АО «ГЛОНАСС»,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ПАО «Совкомфлот». </w:t>
      </w:r>
    </w:p>
    <w:p w:rsidR="00C76770" w:rsidRPr="00044D64" w:rsidRDefault="00B46632" w:rsidP="00B46632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шести указанным акционерным обществам рассматриваемый показатель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в 2023 году по сравнению с 2020 годом не изменился и </w:t>
      </w:r>
      <w:r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составил 40,4 %.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3C23A3" w:rsidRDefault="001B5EA5" w:rsidP="007E1219">
      <w:pPr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Default="00FE30FD" w:rsidP="007E1219">
      <w:pPr>
        <w:pStyle w:val="a1"/>
        <w:spacing w:after="0" w:line="240" w:lineRule="auto"/>
        <w:ind w:firstLine="680"/>
        <w:jc w:val="both"/>
      </w:pPr>
      <w:bookmarkStart w:id="0" w:name="_GoBack"/>
      <w:bookmarkEnd w:id="0"/>
      <w:r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27326C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За счет практики применения аэропортами Правил произошло существенное улучшение ситуации в аэропортах. Формируется конкурентная среда в отдельных сегментах рынков услуг 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клининг (очистка, уборка)</w:t>
      </w:r>
      <w:r w:rsidRPr="0027326C">
        <w:rPr>
          <w:rFonts w:ascii="Times New Roman" w:hAnsi="Times New Roman"/>
          <w:sz w:val="28"/>
          <w:szCs w:val="28"/>
        </w:rPr>
        <w:br/>
        <w:t xml:space="preserve">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авиатопливообеспечению. </w:t>
      </w:r>
    </w:p>
    <w:p w:rsidR="00E0015A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lastRenderedPageBreak/>
        <w:t>Также отмечаем, что в настоящее время в рамках Правил из 13 аэропортов Российской Федерации, годовой пассажиропот</w:t>
      </w:r>
      <w:r w:rsidR="006916FB">
        <w:rPr>
          <w:rFonts w:ascii="Times New Roman" w:hAnsi="Times New Roman"/>
          <w:sz w:val="28"/>
          <w:szCs w:val="28"/>
        </w:rPr>
        <w:t xml:space="preserve">ок которых составил </w:t>
      </w:r>
      <w:r w:rsidR="00000F4C">
        <w:rPr>
          <w:rFonts w:ascii="Times New Roman" w:hAnsi="Times New Roman"/>
          <w:sz w:val="28"/>
          <w:szCs w:val="28"/>
        </w:rPr>
        <w:br/>
      </w:r>
      <w:r w:rsidR="006916FB">
        <w:rPr>
          <w:rFonts w:ascii="Times New Roman" w:hAnsi="Times New Roman"/>
          <w:sz w:val="28"/>
          <w:szCs w:val="28"/>
        </w:rPr>
        <w:t>более 3 млн</w:t>
      </w:r>
      <w:r w:rsidRPr="0027326C">
        <w:rPr>
          <w:rFonts w:ascii="Times New Roman" w:hAnsi="Times New Roman"/>
          <w:sz w:val="28"/>
          <w:szCs w:val="28"/>
        </w:rPr>
        <w:t xml:space="preserve"> пассажиров, в 12 аэропортах обеспечена работа независимых операторов по наземному обслуживанию. 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Default="00FE30FD" w:rsidP="007E1219">
      <w:pPr>
        <w:pStyle w:val="a1"/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поставщиков услуг, сопутствующих грузовым перевозкам железнодорожным транспортом.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Взаимодействие площадки ЭТП ГП с перевозчиками, операторами услуг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где в разделе «Полезные документы» размещены документы, инструкции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правила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и условия по </w:t>
      </w:r>
      <w:r w:rsidR="00250EB2" w:rsidRPr="00250E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etpgp.rzd.ru/#documentation/rules-and-terms.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всем заказанным услугам осуществля</w:t>
      </w:r>
      <w:r w:rsidR="003C23A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тся автоматизированное формирование электронных счетов на оплату, электронный контроль оплаты услуг по сформированным счетам, контроль статусов согласования заказов, подсыла порожнего подвижного состава, уведомление клиента, отображение статусов выполнения обязательств</w:t>
      </w:r>
      <w:r w:rsidR="006916F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реализован электронный документооборот: предоставление транспортной накладной и формирование первичных отчетных документов, подписанных квалифицированной электронной подписью. Все сведения доступны участникам заказа перевозки через личный кабинет клиента ЭТП ГП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с разграниченными правами доступа.</w:t>
      </w:r>
      <w:r w:rsidR="004069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Развитие цифровых услуг создает предпосылку множественного присутствия различных перевозчиков на платформе, формирующих конкурентную среду предложений услуг клиентам – заказчикам грузовых перевозок.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D83A78" w:rsidRPr="00AF6428" w:rsidRDefault="00FE30FD" w:rsidP="007E1219">
      <w:pPr>
        <w:shd w:val="clear" w:color="auto" w:fill="FFFFFF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AF6428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AF6428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AF6428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</w:t>
      </w:r>
      <w:r w:rsidRPr="00AF6428">
        <w:rPr>
          <w:rFonts w:ascii="Times New Roman" w:hAnsi="Times New Roman"/>
          <w:sz w:val="28"/>
          <w:szCs w:val="28"/>
        </w:rPr>
        <w:lastRenderedPageBreak/>
        <w:t xml:space="preserve">соответствующий запрос в </w:t>
      </w:r>
      <w:r w:rsidR="007E787F" w:rsidRPr="00AF6428">
        <w:rPr>
          <w:rFonts w:ascii="Times New Roman" w:hAnsi="Times New Roman"/>
          <w:sz w:val="28"/>
          <w:szCs w:val="28"/>
        </w:rPr>
        <w:t xml:space="preserve">уполномоченные </w:t>
      </w:r>
      <w:r w:rsidRPr="00AF6428">
        <w:rPr>
          <w:rFonts w:ascii="Times New Roman" w:hAnsi="Times New Roman"/>
          <w:sz w:val="28"/>
          <w:szCs w:val="28"/>
        </w:rPr>
        <w:t xml:space="preserve">органы </w:t>
      </w:r>
      <w:r w:rsidR="007E787F" w:rsidRPr="00AF6428">
        <w:rPr>
          <w:rFonts w:ascii="Times New Roman" w:hAnsi="Times New Roman"/>
          <w:sz w:val="28"/>
          <w:szCs w:val="28"/>
        </w:rPr>
        <w:t>исполнительной</w:t>
      </w:r>
      <w:r w:rsidRPr="00AF6428">
        <w:rPr>
          <w:rFonts w:ascii="Times New Roman" w:hAnsi="Times New Roman"/>
          <w:sz w:val="28"/>
          <w:szCs w:val="28"/>
        </w:rPr>
        <w:t xml:space="preserve"> власти субъектов Российской Федерации</w:t>
      </w:r>
      <w:r w:rsidR="007E787F" w:rsidRPr="00AF6428">
        <w:rPr>
          <w:rFonts w:ascii="Times New Roman" w:hAnsi="Times New Roman"/>
          <w:sz w:val="28"/>
          <w:szCs w:val="28"/>
        </w:rPr>
        <w:t xml:space="preserve"> в сфере транспорта</w:t>
      </w:r>
      <w:r w:rsidRPr="00AF6428">
        <w:rPr>
          <w:rFonts w:ascii="Times New Roman" w:hAnsi="Times New Roman"/>
          <w:sz w:val="28"/>
          <w:szCs w:val="28"/>
        </w:rPr>
        <w:t>.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>В соответствии с имеющимися данными субъектов Российской Федерации: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2113FD">
        <w:rPr>
          <w:rFonts w:ascii="Times New Roman" w:hAnsi="Times New Roman"/>
          <w:sz w:val="28"/>
          <w:szCs w:val="28"/>
        </w:rPr>
        <w:t>7</w:t>
      </w:r>
      <w:r w:rsidR="00B70DFD">
        <w:rPr>
          <w:rFonts w:ascii="Times New Roman" w:hAnsi="Times New Roman"/>
          <w:sz w:val="28"/>
          <w:szCs w:val="28"/>
        </w:rPr>
        <w:t>3</w:t>
      </w:r>
      <w:r w:rsidR="00551427">
        <w:rPr>
          <w:rFonts w:ascii="Times New Roman" w:hAnsi="Times New Roman"/>
          <w:sz w:val="28"/>
          <w:szCs w:val="28"/>
        </w:rPr>
        <w:t>,</w:t>
      </w:r>
      <w:r w:rsidR="00B70DFD">
        <w:rPr>
          <w:rFonts w:ascii="Times New Roman" w:hAnsi="Times New Roman"/>
          <w:sz w:val="28"/>
          <w:szCs w:val="28"/>
        </w:rPr>
        <w:t>85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6C36F2">
        <w:rPr>
          <w:rFonts w:ascii="Times New Roman" w:hAnsi="Times New Roman"/>
          <w:sz w:val="28"/>
          <w:szCs w:val="28"/>
        </w:rPr>
        <w:t>79</w:t>
      </w:r>
      <w:r w:rsidR="002113FD" w:rsidRPr="002113FD">
        <w:rPr>
          <w:rFonts w:ascii="Times New Roman" w:hAnsi="Times New Roman"/>
          <w:sz w:val="28"/>
          <w:szCs w:val="28"/>
        </w:rPr>
        <w:t>,</w:t>
      </w:r>
      <w:r w:rsidR="006C36F2">
        <w:rPr>
          <w:rFonts w:ascii="Times New Roman" w:hAnsi="Times New Roman"/>
          <w:sz w:val="28"/>
          <w:szCs w:val="28"/>
        </w:rPr>
        <w:t>18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%.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B3" w:rsidRDefault="006707B3">
      <w:pPr>
        <w:spacing w:after="0" w:line="240" w:lineRule="auto"/>
      </w:pPr>
      <w:r>
        <w:separator/>
      </w:r>
    </w:p>
  </w:endnote>
  <w:endnote w:type="continuationSeparator" w:id="0">
    <w:p w:rsidR="006707B3" w:rsidRDefault="0067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B3" w:rsidRDefault="006707B3">
      <w:pPr>
        <w:spacing w:after="0" w:line="240" w:lineRule="auto"/>
      </w:pPr>
      <w:r>
        <w:separator/>
      </w:r>
    </w:p>
  </w:footnote>
  <w:footnote w:type="continuationSeparator" w:id="0">
    <w:p w:rsidR="006707B3" w:rsidRDefault="0067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A1B02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1308A"/>
    <w:rsid w:val="0003124E"/>
    <w:rsid w:val="00044D64"/>
    <w:rsid w:val="00056840"/>
    <w:rsid w:val="0005785B"/>
    <w:rsid w:val="000647FB"/>
    <w:rsid w:val="0008711B"/>
    <w:rsid w:val="000A2C31"/>
    <w:rsid w:val="000A5634"/>
    <w:rsid w:val="000B504E"/>
    <w:rsid w:val="000C0A2D"/>
    <w:rsid w:val="000C12EA"/>
    <w:rsid w:val="000D48F3"/>
    <w:rsid w:val="000E45CB"/>
    <w:rsid w:val="000E6468"/>
    <w:rsid w:val="000F59F6"/>
    <w:rsid w:val="00103B44"/>
    <w:rsid w:val="001042E7"/>
    <w:rsid w:val="001121FD"/>
    <w:rsid w:val="0012396A"/>
    <w:rsid w:val="00144A8B"/>
    <w:rsid w:val="00144AEE"/>
    <w:rsid w:val="00154528"/>
    <w:rsid w:val="001647F9"/>
    <w:rsid w:val="001651AA"/>
    <w:rsid w:val="00167641"/>
    <w:rsid w:val="00167D06"/>
    <w:rsid w:val="00176496"/>
    <w:rsid w:val="001777BE"/>
    <w:rsid w:val="00177A17"/>
    <w:rsid w:val="00184C30"/>
    <w:rsid w:val="00184DB8"/>
    <w:rsid w:val="00184F35"/>
    <w:rsid w:val="001965F0"/>
    <w:rsid w:val="001A7FCD"/>
    <w:rsid w:val="001B2BBB"/>
    <w:rsid w:val="001B5EA5"/>
    <w:rsid w:val="001D4DC0"/>
    <w:rsid w:val="001D5E2A"/>
    <w:rsid w:val="001E3B3F"/>
    <w:rsid w:val="001E5301"/>
    <w:rsid w:val="001E7A28"/>
    <w:rsid w:val="002113FD"/>
    <w:rsid w:val="00216AFA"/>
    <w:rsid w:val="00236BBB"/>
    <w:rsid w:val="00246074"/>
    <w:rsid w:val="00250EB2"/>
    <w:rsid w:val="002624B8"/>
    <w:rsid w:val="00272DE0"/>
    <w:rsid w:val="0027326C"/>
    <w:rsid w:val="0028330A"/>
    <w:rsid w:val="002851AD"/>
    <w:rsid w:val="002A3438"/>
    <w:rsid w:val="002A7519"/>
    <w:rsid w:val="002C600F"/>
    <w:rsid w:val="002D101C"/>
    <w:rsid w:val="002D28CA"/>
    <w:rsid w:val="002E4ADF"/>
    <w:rsid w:val="002E5CF4"/>
    <w:rsid w:val="002F1BFB"/>
    <w:rsid w:val="002F5A23"/>
    <w:rsid w:val="00310AFF"/>
    <w:rsid w:val="00311A66"/>
    <w:rsid w:val="003254C9"/>
    <w:rsid w:val="00325FF0"/>
    <w:rsid w:val="003338FA"/>
    <w:rsid w:val="00345E43"/>
    <w:rsid w:val="0035582C"/>
    <w:rsid w:val="00355D6E"/>
    <w:rsid w:val="00363ED7"/>
    <w:rsid w:val="0037048C"/>
    <w:rsid w:val="00376CBE"/>
    <w:rsid w:val="003804AF"/>
    <w:rsid w:val="00381FEA"/>
    <w:rsid w:val="003957FC"/>
    <w:rsid w:val="003A2AAD"/>
    <w:rsid w:val="003A2E24"/>
    <w:rsid w:val="003A56BE"/>
    <w:rsid w:val="003C23A3"/>
    <w:rsid w:val="003D514A"/>
    <w:rsid w:val="003E37A0"/>
    <w:rsid w:val="003F0FC9"/>
    <w:rsid w:val="003F2507"/>
    <w:rsid w:val="003F75D3"/>
    <w:rsid w:val="004014F3"/>
    <w:rsid w:val="00401A7F"/>
    <w:rsid w:val="004026B3"/>
    <w:rsid w:val="00404EE9"/>
    <w:rsid w:val="00405C4E"/>
    <w:rsid w:val="004069B2"/>
    <w:rsid w:val="00406ABE"/>
    <w:rsid w:val="00416390"/>
    <w:rsid w:val="00421B8B"/>
    <w:rsid w:val="00454244"/>
    <w:rsid w:val="00466ED1"/>
    <w:rsid w:val="0046731B"/>
    <w:rsid w:val="00494F25"/>
    <w:rsid w:val="004A1432"/>
    <w:rsid w:val="004A5C0C"/>
    <w:rsid w:val="004B559C"/>
    <w:rsid w:val="004E25CD"/>
    <w:rsid w:val="004E390A"/>
    <w:rsid w:val="004F38A5"/>
    <w:rsid w:val="005263D4"/>
    <w:rsid w:val="005306A1"/>
    <w:rsid w:val="00535AD6"/>
    <w:rsid w:val="00551427"/>
    <w:rsid w:val="005553BE"/>
    <w:rsid w:val="00556BF0"/>
    <w:rsid w:val="00565C76"/>
    <w:rsid w:val="00565CBA"/>
    <w:rsid w:val="00572981"/>
    <w:rsid w:val="00582346"/>
    <w:rsid w:val="005975B2"/>
    <w:rsid w:val="005A0625"/>
    <w:rsid w:val="005B5E98"/>
    <w:rsid w:val="005C3C8F"/>
    <w:rsid w:val="005D6CF2"/>
    <w:rsid w:val="005F6AE3"/>
    <w:rsid w:val="00616001"/>
    <w:rsid w:val="00623FCD"/>
    <w:rsid w:val="00632965"/>
    <w:rsid w:val="00652273"/>
    <w:rsid w:val="00664F3F"/>
    <w:rsid w:val="006707B3"/>
    <w:rsid w:val="00685C85"/>
    <w:rsid w:val="006916FB"/>
    <w:rsid w:val="006A6D18"/>
    <w:rsid w:val="006B6DB5"/>
    <w:rsid w:val="006B6F3C"/>
    <w:rsid w:val="006C215A"/>
    <w:rsid w:val="006C36F2"/>
    <w:rsid w:val="006C3F53"/>
    <w:rsid w:val="006C6A4B"/>
    <w:rsid w:val="006D7352"/>
    <w:rsid w:val="006F0E93"/>
    <w:rsid w:val="006F689A"/>
    <w:rsid w:val="00702655"/>
    <w:rsid w:val="00702D51"/>
    <w:rsid w:val="007070D2"/>
    <w:rsid w:val="007205E4"/>
    <w:rsid w:val="007212E7"/>
    <w:rsid w:val="00722369"/>
    <w:rsid w:val="007562B8"/>
    <w:rsid w:val="00761496"/>
    <w:rsid w:val="00785CA5"/>
    <w:rsid w:val="00791B4A"/>
    <w:rsid w:val="007C5884"/>
    <w:rsid w:val="007C63D8"/>
    <w:rsid w:val="007D7FF7"/>
    <w:rsid w:val="007E0411"/>
    <w:rsid w:val="007E1219"/>
    <w:rsid w:val="007E67F5"/>
    <w:rsid w:val="007E787F"/>
    <w:rsid w:val="007E7941"/>
    <w:rsid w:val="007F3A2E"/>
    <w:rsid w:val="008134F0"/>
    <w:rsid w:val="00815C5C"/>
    <w:rsid w:val="00817F25"/>
    <w:rsid w:val="008209B1"/>
    <w:rsid w:val="008241BC"/>
    <w:rsid w:val="008262E5"/>
    <w:rsid w:val="00840B0C"/>
    <w:rsid w:val="00840C2D"/>
    <w:rsid w:val="00847F98"/>
    <w:rsid w:val="008558E2"/>
    <w:rsid w:val="0086325A"/>
    <w:rsid w:val="00867BB4"/>
    <w:rsid w:val="008756DE"/>
    <w:rsid w:val="008866DD"/>
    <w:rsid w:val="008A76D3"/>
    <w:rsid w:val="008E13FE"/>
    <w:rsid w:val="008F3EEA"/>
    <w:rsid w:val="008F6D6D"/>
    <w:rsid w:val="008F775D"/>
    <w:rsid w:val="009325DA"/>
    <w:rsid w:val="00940A36"/>
    <w:rsid w:val="00951B7C"/>
    <w:rsid w:val="00957185"/>
    <w:rsid w:val="00957962"/>
    <w:rsid w:val="00966F69"/>
    <w:rsid w:val="00967336"/>
    <w:rsid w:val="0097354F"/>
    <w:rsid w:val="00981F25"/>
    <w:rsid w:val="0099500A"/>
    <w:rsid w:val="009A39DE"/>
    <w:rsid w:val="009A58D1"/>
    <w:rsid w:val="009B31BF"/>
    <w:rsid w:val="009C314B"/>
    <w:rsid w:val="009C5166"/>
    <w:rsid w:val="009E4C0C"/>
    <w:rsid w:val="009E691B"/>
    <w:rsid w:val="00A0210B"/>
    <w:rsid w:val="00A02E64"/>
    <w:rsid w:val="00A03051"/>
    <w:rsid w:val="00A3620C"/>
    <w:rsid w:val="00A363DC"/>
    <w:rsid w:val="00A63DEA"/>
    <w:rsid w:val="00A7285D"/>
    <w:rsid w:val="00A7364E"/>
    <w:rsid w:val="00AB17D7"/>
    <w:rsid w:val="00AC63CA"/>
    <w:rsid w:val="00AD08D1"/>
    <w:rsid w:val="00AE4761"/>
    <w:rsid w:val="00AF4D02"/>
    <w:rsid w:val="00AF6428"/>
    <w:rsid w:val="00AF6B1A"/>
    <w:rsid w:val="00B0310A"/>
    <w:rsid w:val="00B1280F"/>
    <w:rsid w:val="00B132B9"/>
    <w:rsid w:val="00B20E76"/>
    <w:rsid w:val="00B22EC4"/>
    <w:rsid w:val="00B27A17"/>
    <w:rsid w:val="00B328E3"/>
    <w:rsid w:val="00B3524C"/>
    <w:rsid w:val="00B3702D"/>
    <w:rsid w:val="00B46632"/>
    <w:rsid w:val="00B53DC2"/>
    <w:rsid w:val="00B60CD0"/>
    <w:rsid w:val="00B70DFD"/>
    <w:rsid w:val="00B768A1"/>
    <w:rsid w:val="00B829ED"/>
    <w:rsid w:val="00B946BB"/>
    <w:rsid w:val="00B97404"/>
    <w:rsid w:val="00BB1EAD"/>
    <w:rsid w:val="00BD70EE"/>
    <w:rsid w:val="00BE75DA"/>
    <w:rsid w:val="00BF7005"/>
    <w:rsid w:val="00C00548"/>
    <w:rsid w:val="00C04B6B"/>
    <w:rsid w:val="00C0558C"/>
    <w:rsid w:val="00C111DE"/>
    <w:rsid w:val="00C12EF1"/>
    <w:rsid w:val="00C57654"/>
    <w:rsid w:val="00C76770"/>
    <w:rsid w:val="00C82919"/>
    <w:rsid w:val="00C838D9"/>
    <w:rsid w:val="00C96261"/>
    <w:rsid w:val="00CA5814"/>
    <w:rsid w:val="00CB79A8"/>
    <w:rsid w:val="00CC3B4C"/>
    <w:rsid w:val="00CC50F9"/>
    <w:rsid w:val="00CD12F9"/>
    <w:rsid w:val="00CE4955"/>
    <w:rsid w:val="00CE65D2"/>
    <w:rsid w:val="00CF1321"/>
    <w:rsid w:val="00CF6386"/>
    <w:rsid w:val="00CF6DAD"/>
    <w:rsid w:val="00D06ABF"/>
    <w:rsid w:val="00D1245D"/>
    <w:rsid w:val="00D16D13"/>
    <w:rsid w:val="00D40374"/>
    <w:rsid w:val="00D47BD7"/>
    <w:rsid w:val="00D5566F"/>
    <w:rsid w:val="00D5654E"/>
    <w:rsid w:val="00D6113B"/>
    <w:rsid w:val="00D7323E"/>
    <w:rsid w:val="00D83A78"/>
    <w:rsid w:val="00D910C2"/>
    <w:rsid w:val="00D94B77"/>
    <w:rsid w:val="00DB3F12"/>
    <w:rsid w:val="00DC50A1"/>
    <w:rsid w:val="00DE1905"/>
    <w:rsid w:val="00E0015A"/>
    <w:rsid w:val="00E042D3"/>
    <w:rsid w:val="00E11417"/>
    <w:rsid w:val="00E17CD5"/>
    <w:rsid w:val="00E2550C"/>
    <w:rsid w:val="00E34B1E"/>
    <w:rsid w:val="00E35EBD"/>
    <w:rsid w:val="00E37A8D"/>
    <w:rsid w:val="00E41D55"/>
    <w:rsid w:val="00E4559B"/>
    <w:rsid w:val="00E455C8"/>
    <w:rsid w:val="00E6286A"/>
    <w:rsid w:val="00E72C1C"/>
    <w:rsid w:val="00E802BA"/>
    <w:rsid w:val="00E933DB"/>
    <w:rsid w:val="00EA1B02"/>
    <w:rsid w:val="00EA401B"/>
    <w:rsid w:val="00EB7E12"/>
    <w:rsid w:val="00EC548F"/>
    <w:rsid w:val="00EC7C6C"/>
    <w:rsid w:val="00EE4317"/>
    <w:rsid w:val="00EF7969"/>
    <w:rsid w:val="00F01CD8"/>
    <w:rsid w:val="00F05780"/>
    <w:rsid w:val="00F15505"/>
    <w:rsid w:val="00F23BAB"/>
    <w:rsid w:val="00F324C0"/>
    <w:rsid w:val="00F34464"/>
    <w:rsid w:val="00F37799"/>
    <w:rsid w:val="00F502B0"/>
    <w:rsid w:val="00F64EFB"/>
    <w:rsid w:val="00F73E3B"/>
    <w:rsid w:val="00F80DE4"/>
    <w:rsid w:val="00FA61A5"/>
    <w:rsid w:val="00FC12A4"/>
    <w:rsid w:val="00FD7A1A"/>
    <w:rsid w:val="00FD7B5E"/>
    <w:rsid w:val="00FE30FD"/>
    <w:rsid w:val="00FE36E4"/>
    <w:rsid w:val="00FE58A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4BCC-60D4-4B09-AE7E-B2292E8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2</cp:revision>
  <cp:lastPrinted>2024-06-13T10:48:00Z</cp:lastPrinted>
  <dcterms:created xsi:type="dcterms:W3CDTF">2024-06-14T10:55:00Z</dcterms:created>
  <dcterms:modified xsi:type="dcterms:W3CDTF">2024-06-14T10:55:00Z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