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E32224">
        <w:rPr>
          <w:rFonts w:hAnsi="Times New Roman"/>
        </w:rPr>
        <w:t>01.08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E32224">
        <w:rPr>
          <w:rFonts w:hAnsi="Times New Roman"/>
        </w:rPr>
        <w:t>6850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4F5101">
        <w:rPr>
          <w:rFonts w:hAnsi="Times New Roman"/>
        </w:rPr>
        <w:t>Екатеринбург</w:t>
      </w:r>
      <w:r w:rsidRPr="008D1B8E">
        <w:rPr>
          <w:rFonts w:hAnsi="Times New Roman"/>
        </w:rPr>
        <w:t xml:space="preserve"> (Российская Федерация) — г. </w:t>
      </w:r>
      <w:r w:rsidR="00E32224">
        <w:rPr>
          <w:rFonts w:hAnsi="Times New Roman"/>
        </w:rPr>
        <w:t>Худжанд</w:t>
      </w:r>
      <w:r w:rsidRPr="008D1B8E">
        <w:rPr>
          <w:rFonts w:hAnsi="Times New Roman"/>
        </w:rPr>
        <w:t xml:space="preserve"> (</w:t>
      </w:r>
      <w:r w:rsidR="000B7CA2">
        <w:rPr>
          <w:rFonts w:hAnsi="Times New Roman"/>
        </w:rPr>
        <w:t xml:space="preserve">Республика </w:t>
      </w:r>
      <w:r w:rsidR="00E32224">
        <w:rPr>
          <w:rFonts w:hAnsi="Times New Roman"/>
        </w:rPr>
        <w:t>Таджикистан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B46E3">
        <w:rPr>
          <w:rStyle w:val="FontStyle27"/>
          <w:sz w:val="24"/>
          <w:szCs w:val="24"/>
        </w:rPr>
        <w:t>2844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B46E3">
        <w:rPr>
          <w:rStyle w:val="FontStyle27"/>
          <w:sz w:val="24"/>
          <w:szCs w:val="24"/>
        </w:rPr>
        <w:t>2844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F5101" w:rsidRDefault="007469A3" w:rsidP="00BC15D3">
            <w:pPr>
              <w:jc w:val="center"/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Default="003920B4" w:rsidP="00BC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  <w:r w:rsidR="007469A3" w:rsidRPr="007469A3">
              <w:rPr>
                <w:rFonts w:hAnsi="Times New Roman"/>
              </w:rPr>
              <w:t>, Свердл</w:t>
            </w:r>
            <w:r w:rsidR="007469A3">
              <w:rPr>
                <w:rFonts w:hAnsi="Times New Roman"/>
              </w:rPr>
              <w:t>овская область, г.Екатеринбург</w:t>
            </w:r>
          </w:p>
          <w:p w:rsidR="007469A3" w:rsidRPr="007469A3" w:rsidRDefault="007469A3" w:rsidP="00BC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ул.</w:t>
            </w:r>
            <w:r w:rsidRPr="007469A3">
              <w:rPr>
                <w:rFonts w:hAnsi="Times New Roman"/>
              </w:rPr>
              <w:t xml:space="preserve"> Вокзальная 15 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</w:tr>
      <w:tr w:rsidR="007469A3" w:rsidRPr="008D1B8E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4F5101" w:rsidRDefault="003920B4" w:rsidP="00BC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«Рохи Абрешим» 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469A3" w:rsidRDefault="003920B4" w:rsidP="00BC15D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Таджикистан, Согдийская область, г. Худжанд, 34-микрорайон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8D1B8E" w:rsidRDefault="007469A3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 w:rsidR="003920B4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EA541B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«Северный»</w:t>
            </w:r>
          </w:p>
          <w:p w:rsidR="008B46E3" w:rsidRPr="004F5101" w:rsidRDefault="008B46E3" w:rsidP="00EA541B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B73285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EA54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Петухово</w:t>
            </w:r>
          </w:p>
          <w:p w:rsidR="008B46E3" w:rsidRPr="00277550" w:rsidRDefault="008B46E3" w:rsidP="00EA54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hAnsi="Times New Roman"/>
              </w:rPr>
              <w:t>Российская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Федерация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560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277550" w:rsidRDefault="008B46E3" w:rsidP="00EA54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Жана Жол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561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EA54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Казыгурт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2650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EA54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Ташкент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2651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277550" w:rsidRDefault="008B46E3" w:rsidP="00EA541B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Ойбек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2781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EA541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Фотехобод (Республика</w:t>
            </w:r>
          </w:p>
          <w:p w:rsidR="008B46E3" w:rsidRPr="00277550" w:rsidRDefault="008B46E3" w:rsidP="00EA541B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Таджикистан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2782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277550" w:rsidRDefault="008B46E3" w:rsidP="00EA541B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«Рохи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Абрешим»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2844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8D1B8E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8D1B8E" w:rsidRDefault="00F107DF" w:rsidP="003920B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3920B4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9B3ADE" w:rsidRDefault="008B46E3" w:rsidP="006A11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«Рохи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Абрешим»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6A11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Фотехобод (Республика</w:t>
            </w:r>
          </w:p>
          <w:p w:rsidR="008B46E3" w:rsidRPr="00277550" w:rsidRDefault="008B46E3" w:rsidP="006A1146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Таджикистан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277550" w:rsidRDefault="008B46E3" w:rsidP="006A1146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Ойбек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6A11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Ташкент (Республика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193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6A11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Казыгурт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194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277550" w:rsidRDefault="008B46E3" w:rsidP="006A11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Жана Жол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6A1146" w:rsidRDefault="006A1146" w:rsidP="006A1146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2283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Default="008B46E3" w:rsidP="006A11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Петухово</w:t>
            </w:r>
          </w:p>
          <w:p w:rsidR="008B46E3" w:rsidRPr="00277550" w:rsidRDefault="008B46E3" w:rsidP="006A114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hAnsi="Times New Roman"/>
              </w:rPr>
              <w:t>Российская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Федерация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2284</w:t>
            </w:r>
          </w:p>
        </w:tc>
      </w:tr>
      <w:tr w:rsidR="008B46E3" w:rsidRPr="008D1B8E" w:rsidTr="008B46E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6E3" w:rsidRDefault="008B46E3" w:rsidP="006A114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8B46E3" w:rsidRPr="004F5101" w:rsidRDefault="008B46E3" w:rsidP="006A1146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8D1B8E" w:rsidRDefault="008B46E3" w:rsidP="008B46E3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6E3" w:rsidRPr="00105AD4" w:rsidRDefault="008B46E3" w:rsidP="008B46E3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2844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700C02" w:rsidRPr="008D1B8E" w:rsidTr="00EA541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00C02" w:rsidRPr="008D1B8E" w:rsidTr="00EA541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00C02" w:rsidRPr="008D1B8E" w:rsidTr="00EA54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00C02" w:rsidRPr="008D1B8E" w:rsidTr="00EA54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АВ «Северный»</w:t>
            </w:r>
          </w:p>
          <w:p w:rsidR="00700C02" w:rsidRPr="004F5101" w:rsidRDefault="00700C02" w:rsidP="00EF7582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B73285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Петухово</w:t>
            </w:r>
          </w:p>
          <w:p w:rsidR="00700C02" w:rsidRPr="00277550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hAnsi="Times New Roman"/>
              </w:rPr>
              <w:t>Российская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Федерация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560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277550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Жана Жол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561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Казыгурт (Республика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2650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Ташкент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2651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277550" w:rsidRDefault="00700C02" w:rsidP="00EF7582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Ойбек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2781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Фотехобод (Республика</w:t>
            </w:r>
          </w:p>
          <w:p w:rsidR="00700C02" w:rsidRPr="00277550" w:rsidRDefault="00700C02" w:rsidP="00EF7582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Таджикистан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48:05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2782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277550" w:rsidRDefault="00700C02" w:rsidP="00EF7582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«Рохи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Абрешим»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2844</w:t>
            </w:r>
          </w:p>
        </w:tc>
      </w:tr>
      <w:tr w:rsidR="00700C02" w:rsidRPr="008D1B8E" w:rsidTr="00EA54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00C02" w:rsidRPr="008D1B8E" w:rsidTr="00EA541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00C02" w:rsidRPr="008D1B8E" w:rsidRDefault="00700C02" w:rsidP="00EA541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9B3ADE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«Рохи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Абрешим»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Фотехобод (Республика</w:t>
            </w:r>
          </w:p>
          <w:p w:rsidR="00700C02" w:rsidRPr="00277550" w:rsidRDefault="00700C02" w:rsidP="00EF7582">
            <w:pPr>
              <w:pStyle w:val="ab"/>
              <w:ind w:firstLine="0"/>
              <w:jc w:val="left"/>
            </w:pPr>
            <w:r>
              <w:rPr>
                <w:rFonts w:hAnsi="Times New Roman"/>
              </w:rPr>
              <w:t>Таджикистан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62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277550" w:rsidRDefault="00700C02" w:rsidP="00EF7582">
            <w:pPr>
              <w:pStyle w:val="ab"/>
              <w:ind w:firstLine="0"/>
              <w:jc w:val="left"/>
            </w:pPr>
            <w:r>
              <w:rPr>
                <w:rFonts w:ascii="Times New Roman" w:hAnsi="Times New Roman" w:cs="Times New Roman"/>
                <w:lang w:bidi="ru-RU"/>
              </w:rPr>
              <w:t>АПП Ойбек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63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Ташкент (Республика Узбекистан)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193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Казыгурт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194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277550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Жана Жол (Республика Казахстан)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EF7582" w:rsidRDefault="00EF7582" w:rsidP="00EF758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2283</w:t>
            </w:r>
            <w:bookmarkStart w:id="0" w:name="_GoBack"/>
            <w:bookmarkEnd w:id="0"/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Петухово</w:t>
            </w:r>
          </w:p>
          <w:p w:rsidR="00700C02" w:rsidRPr="00277550" w:rsidRDefault="00700C02" w:rsidP="00EF75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hAnsi="Times New Roman"/>
              </w:rPr>
              <w:t>Российская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Федерация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2284</w:t>
            </w:r>
          </w:p>
        </w:tc>
      </w:tr>
      <w:tr w:rsidR="00700C02" w:rsidRPr="008D1B8E" w:rsidTr="00700C0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02" w:rsidRDefault="00700C02" w:rsidP="00EF7582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 xml:space="preserve">АВ «Северный» </w:t>
            </w:r>
          </w:p>
          <w:p w:rsidR="00700C02" w:rsidRPr="004F5101" w:rsidRDefault="00700C02" w:rsidP="00EF7582">
            <w:pPr>
              <w:rPr>
                <w:rFonts w:hAnsi="Times New Roman"/>
              </w:rPr>
            </w:pPr>
            <w:r w:rsidRPr="004F5101">
              <w:rPr>
                <w:rFonts w:hAnsi="Times New Roman"/>
              </w:rPr>
              <w:t>г. Екатеринбург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8D1B8E" w:rsidRDefault="00700C02" w:rsidP="00700C02">
            <w:pPr>
              <w:jc w:val="center"/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C02" w:rsidRPr="00105AD4" w:rsidRDefault="00700C02" w:rsidP="00700C02">
            <w:pPr>
              <w:pStyle w:val="a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2844</w:t>
            </w:r>
          </w:p>
        </w:tc>
      </w:tr>
    </w:tbl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lastRenderedPageBreak/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Вокзальная</w:t>
            </w:r>
            <w:r w:rsidR="00BC15D3">
              <w:rPr>
                <w:rFonts w:hAnsi="Times New Roman"/>
              </w:rPr>
              <w:t xml:space="preserve"> ул.</w:t>
            </w:r>
            <w:r w:rsidRPr="00F604E3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Стрелочников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Челюскинцев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Восточная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Малышева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Комсомольская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Дублер Сибирского тракта (г. Екатеринбург)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Ленина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(с. Большебрусянское)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Ленина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(с. Логиново)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Свердлова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(с. Логиново)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Ленина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(д. Златогорова)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Ленина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(д. Часовая)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Ленина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(с. Покровское)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Калинина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(д. Малая Белоносова)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BC15D3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</w:t>
            </w:r>
            <w:r w:rsidR="00F604E3" w:rsidRPr="00F604E3">
              <w:rPr>
                <w:rFonts w:hAnsi="Times New Roman"/>
              </w:rPr>
              <w:t xml:space="preserve">агарина </w:t>
            </w:r>
            <w:r w:rsidRPr="00F604E3">
              <w:rPr>
                <w:rFonts w:hAnsi="Times New Roman"/>
              </w:rPr>
              <w:t xml:space="preserve">ул. </w:t>
            </w:r>
            <w:r w:rsidR="00F604E3" w:rsidRPr="00F604E3">
              <w:rPr>
                <w:rFonts w:hAnsi="Times New Roman"/>
              </w:rPr>
              <w:t>(р.п. Каргаполье)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Р-354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Р-254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М-51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Курганское шоссе 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Западная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Кожабергена Жырау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Петропавловск)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А-13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А-1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Гоголя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Республики </w:t>
            </w:r>
            <w:r w:rsidR="00BC15D3">
              <w:rPr>
                <w:rFonts w:hAnsi="Times New Roman"/>
              </w:rPr>
              <w:t xml:space="preserve">пр. </w:t>
            </w:r>
            <w:r w:rsidRPr="00F604E3">
              <w:rPr>
                <w:rFonts w:hAnsi="Times New Roman"/>
              </w:rPr>
              <w:t>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 xml:space="preserve">Гапеева </w:t>
            </w:r>
            <w:r w:rsidR="00BC15D3" w:rsidRPr="00F604E3">
              <w:rPr>
                <w:rFonts w:hAnsi="Times New Roman"/>
              </w:rPr>
              <w:t xml:space="preserve">ул. </w:t>
            </w:r>
            <w:r w:rsidRPr="00F604E3">
              <w:rPr>
                <w:rFonts w:hAnsi="Times New Roman"/>
              </w:rPr>
              <w:t>(г. Караганда)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М-36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Р-29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пр. Байдибек би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пр. Кунаева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пр. Тауке хана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пр. Республики (г. Шымкент)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Казахстан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4К694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Узбекистан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4Р8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Узбекистан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4Р6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Узбекистан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4Р126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Узбекистан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4Р12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Узбекистан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4Р2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Узбекистан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автодорога РБ01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Таджикистан</w:t>
            </w:r>
          </w:p>
        </w:tc>
      </w:tr>
      <w:tr w:rsidR="00F604E3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BC15D3">
            <w:pPr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Северная</w:t>
            </w:r>
            <w:r w:rsidR="00BC15D3">
              <w:rPr>
                <w:rFonts w:hAnsi="Times New Roman"/>
              </w:rPr>
              <w:t xml:space="preserve"> ул.</w:t>
            </w:r>
            <w:r w:rsidRPr="00F604E3">
              <w:rPr>
                <w:rFonts w:hAnsi="Times New Roman"/>
              </w:rPr>
              <w:t xml:space="preserve"> (г. Худжанд)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E3D0C" w:rsidRPr="00CE3D0C" w:rsidTr="00CE3D0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3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 xml:space="preserve">АВ «Северный» </w:t>
            </w:r>
          </w:p>
          <w:p w:rsidR="00CE3D0C" w:rsidRPr="00CE3D0C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г. Екатеринбург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3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 xml:space="preserve">АВ «Рохи Абрешим» </w:t>
            </w:r>
          </w:p>
          <w:p w:rsidR="00CE3D0C" w:rsidRPr="00CE3D0C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г. Худжанд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0C" w:rsidRPr="00CE3D0C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6000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D0C" w:rsidRPr="00CE3D0C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1200 руб.</w:t>
            </w:r>
          </w:p>
        </w:tc>
      </w:tr>
      <w:tr w:rsidR="00CE3D0C" w:rsidRPr="00CE3D0C" w:rsidTr="00CE3D0C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3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 xml:space="preserve">АВ «Рохи Абрешим» </w:t>
            </w:r>
          </w:p>
          <w:p w:rsidR="00CE3D0C" w:rsidRPr="00CE3D0C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г. Худжанд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3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 xml:space="preserve">АВ «Северный» </w:t>
            </w:r>
          </w:p>
          <w:p w:rsidR="00CE3D0C" w:rsidRPr="00CE3D0C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г. Екатеринбург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0C" w:rsidRPr="00CE3D0C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960 сомони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D0C" w:rsidRPr="00CE3D0C" w:rsidRDefault="00CE3D0C" w:rsidP="00CE3D0C">
            <w:pPr>
              <w:jc w:val="center"/>
              <w:rPr>
                <w:rFonts w:hAnsi="Times New Roman"/>
              </w:rPr>
            </w:pPr>
            <w:r w:rsidRPr="00CE3D0C">
              <w:rPr>
                <w:rFonts w:hAnsi="Times New Roman"/>
              </w:rPr>
              <w:t>192 сомони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CE3D0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55CF7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055CF7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CF7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F7" w:rsidRPr="00055CF7" w:rsidRDefault="00CE3D0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5CF7" w:rsidRPr="00055CF7" w:rsidRDefault="00CE3D0C" w:rsidP="000B7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>: 01.0</w:t>
      </w:r>
      <w:r w:rsidR="00CE3D0C">
        <w:rPr>
          <w:rFonts w:hAnsi="Times New Roman"/>
        </w:rPr>
        <w:t xml:space="preserve">9.2023 </w:t>
      </w:r>
    </w:p>
    <w:p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CE3D0C">
        <w:rPr>
          <w:rFonts w:hAnsi="Times New Roman"/>
        </w:rPr>
        <w:t xml:space="preserve">31.08.2028 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41B" w:rsidRDefault="00EA541B" w:rsidP="008D1B8E">
      <w:r>
        <w:separator/>
      </w:r>
    </w:p>
  </w:endnote>
  <w:endnote w:type="continuationSeparator" w:id="0">
    <w:p w:rsidR="00EA541B" w:rsidRDefault="00EA541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41B" w:rsidRDefault="00EA541B" w:rsidP="008D1B8E">
      <w:r>
        <w:separator/>
      </w:r>
    </w:p>
  </w:footnote>
  <w:footnote w:type="continuationSeparator" w:id="0">
    <w:p w:rsidR="00EA541B" w:rsidRDefault="00EA541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B7CA2"/>
    <w:rsid w:val="000E21B6"/>
    <w:rsid w:val="001A0676"/>
    <w:rsid w:val="002A55A8"/>
    <w:rsid w:val="002F1E6C"/>
    <w:rsid w:val="00317DA7"/>
    <w:rsid w:val="003461CC"/>
    <w:rsid w:val="003920B4"/>
    <w:rsid w:val="003C7B0D"/>
    <w:rsid w:val="004353F3"/>
    <w:rsid w:val="0045388C"/>
    <w:rsid w:val="004735F7"/>
    <w:rsid w:val="00493038"/>
    <w:rsid w:val="004C590F"/>
    <w:rsid w:val="004E733E"/>
    <w:rsid w:val="004F5101"/>
    <w:rsid w:val="00510C33"/>
    <w:rsid w:val="005267F1"/>
    <w:rsid w:val="005322B8"/>
    <w:rsid w:val="00561B19"/>
    <w:rsid w:val="00570615"/>
    <w:rsid w:val="00574AF3"/>
    <w:rsid w:val="005B749A"/>
    <w:rsid w:val="005C6C6E"/>
    <w:rsid w:val="005E4A53"/>
    <w:rsid w:val="005F5EA7"/>
    <w:rsid w:val="00627D28"/>
    <w:rsid w:val="006579C0"/>
    <w:rsid w:val="006A1146"/>
    <w:rsid w:val="00700C02"/>
    <w:rsid w:val="007469A3"/>
    <w:rsid w:val="0085626D"/>
    <w:rsid w:val="00865241"/>
    <w:rsid w:val="00865694"/>
    <w:rsid w:val="008754F0"/>
    <w:rsid w:val="008B46E3"/>
    <w:rsid w:val="008C0BCB"/>
    <w:rsid w:val="008D1B8E"/>
    <w:rsid w:val="008E0D92"/>
    <w:rsid w:val="008F3FE3"/>
    <w:rsid w:val="009204BF"/>
    <w:rsid w:val="0092104B"/>
    <w:rsid w:val="00942051"/>
    <w:rsid w:val="00AA4FC3"/>
    <w:rsid w:val="00AB046D"/>
    <w:rsid w:val="00B03D1C"/>
    <w:rsid w:val="00B31BCB"/>
    <w:rsid w:val="00B63834"/>
    <w:rsid w:val="00BC15D3"/>
    <w:rsid w:val="00BD38A7"/>
    <w:rsid w:val="00BD65E9"/>
    <w:rsid w:val="00BE0D26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7C1C"/>
    <w:rsid w:val="00E27975"/>
    <w:rsid w:val="00E3003A"/>
    <w:rsid w:val="00E32224"/>
    <w:rsid w:val="00E91A4E"/>
    <w:rsid w:val="00EA1536"/>
    <w:rsid w:val="00EA541B"/>
    <w:rsid w:val="00EB704F"/>
    <w:rsid w:val="00EF7582"/>
    <w:rsid w:val="00F107DF"/>
    <w:rsid w:val="00F5044D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9483-6D40-4F27-9564-FF955ABD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9</cp:revision>
  <cp:lastPrinted>2023-04-04T11:36:00Z</cp:lastPrinted>
  <dcterms:created xsi:type="dcterms:W3CDTF">2023-08-01T09:43:00Z</dcterms:created>
  <dcterms:modified xsi:type="dcterms:W3CDTF">2023-08-04T07:53:00Z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