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customXml/item12.xml" ContentType="application/xml"/>
  <Override PartName="/customXml/item11.xml" ContentType="application/xml"/>
  <Override PartName="/customXml/item10.xml" ContentType="application/xml"/>
  <Override PartName="/customXml/itemProps10.xml" ContentType="application/vnd.openxmlformats-officedocument.customXmlProperties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5.xml" ContentType="application/xml"/>
  <Override PartName="/customXml/item6.xml" ContentType="application/xml"/>
  <Override PartName="/customXml/item4.xml" ContentType="application/xml"/>
  <Override PartName="/customXml/item8.xml" ContentType="application/xml"/>
  <Override PartName="/customXml/item3.xml" ContentType="application/xml"/>
  <Override PartName="/customXml/item7.xml" ContentType="application/xml"/>
  <Override PartName="/customXml/item9.xml" ContentType="application/xml"/>
  <Override PartName="/customXml/item2.xml" ContentType="application/xml"/>
  <Override PartName="/customXml/item1.xml" ContentType="application/xml"/>
  <Override PartName="/customXml/_rels/item3.xml.rels" ContentType="application/vnd.openxmlformats-package.relationships+xml"/>
  <Override PartName="/customXml/_rels/item9.xml.rels" ContentType="application/vnd.openxmlformats-package.relationships+xml"/>
  <Override PartName="/customXml/_rels/item1.xml.rels" ContentType="application/vnd.openxmlformats-package.relationships+xml"/>
  <Override PartName="/customXml/_rels/item12.xml.rels" ContentType="application/vnd.openxmlformats-package.relationships+xml"/>
  <Override PartName="/customXml/_rels/item4.xml.rels" ContentType="application/vnd.openxmlformats-package.relationships+xml"/>
  <Override PartName="/customXml/_rels/item6.xml.rels" ContentType="application/vnd.openxmlformats-package.relationships+xml"/>
  <Override PartName="/customXml/_rels/item7.xml.rels" ContentType="application/vnd.openxmlformats-package.relationships+xml"/>
  <Override PartName="/customXml/_rels/item5.xml.rels" ContentType="application/vnd.openxmlformats-package.relationships+xml"/>
  <Override PartName="/customXml/_rels/item11.xml.rels" ContentType="application/vnd.openxmlformats-package.relationships+xml"/>
  <Override PartName="/customXml/_rels/item2.xml.rels" ContentType="application/vnd.openxmlformats-package.relationships+xml"/>
  <Override PartName="/customXml/_rels/item10.xml.rels" ContentType="application/vnd.openxmlformats-package.relationships+xml"/>
  <Override PartName="/customXml/_rels/item8.xml.rels" ContentType="application/vnd.openxmlformats-package.relationship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before="0" w:after="120"/>
        <w:ind w:left="5046" w:right="11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 w:themeColor="text1"/>
          <w:sz w:val="24"/>
        </w:rPr>
        <w:t>Приложение № 2</w:t>
      </w:r>
    </w:p>
    <w:p>
      <w:pPr>
        <w:pStyle w:val="ConsPlusNonformat"/>
        <w:ind w:left="4956" w:hanging="0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  <w:t xml:space="preserve">к Методике одобрения мероприятий </w:t>
        <w:br/>
        <w:t>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</w:t>
      </w:r>
    </w:p>
    <w:p>
      <w:pPr>
        <w:pStyle w:val="ConsPlusNonformat"/>
        <w:spacing w:before="120" w:after="160"/>
        <w:ind w:left="4956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ConsPlusNonformat"/>
        <w:spacing w:before="120" w:after="160"/>
        <w:ind w:left="4956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ConsPlusNonformat"/>
        <w:ind w:left="5102" w:hanging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(форма)</w:t>
      </w:r>
    </w:p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на финансирование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предоставляемые Федеральным казначейством за счет временно свободных средств единого счета федерального бюджета бюджетам субъектов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 </w:t>
      </w:r>
    </w:p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(далее -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специальные казначейские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кредиты)</w:t>
      </w:r>
    </w:p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</w:r>
    </w:p>
    <w:tbl>
      <w:tblPr>
        <w:tblStyle w:val="afe"/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18"/>
        <w:gridCol w:w="5602"/>
      </w:tblGrid>
      <w:tr>
        <w:trPr>
          <w:trHeight w:val="510" w:hRule="atLeast"/>
        </w:trPr>
        <w:tc>
          <w:tcPr>
            <w:tcW w:w="99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992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8"/>
                <w:lang w:val="ru-RU" w:bidi="ar-SA"/>
              </w:rPr>
              <w:t>(наименование высшего должностного лица субъекта Российской Федерации (председателя высшего исполнительного органа субъекта Российской Федерации))</w:t>
            </w:r>
          </w:p>
        </w:tc>
      </w:tr>
      <w:tr>
        <w:trPr>
          <w:trHeight w:val="510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заявляет о наличии потребности в использовании специальных казначейских кредитов на финансирование мероприятий по приобретению подвижного состава пассажирского транспорта общего пользования в размере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vertAlign w:val="superscript"/>
                <w:lang w:val="ru-RU" w:bidi="ar-SA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431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тыс. рублей.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Перечень мероприятий по приобретению подвижного состава пассажирского транспорта общего пользования:</w:t>
      </w:r>
    </w:p>
    <w:tbl>
      <w:tblPr>
        <w:tblStyle w:val="af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8"/>
        <w:gridCol w:w="6175"/>
        <w:gridCol w:w="3078"/>
      </w:tblGrid>
      <w:tr>
        <w:trPr/>
        <w:tc>
          <w:tcPr>
            <w:tcW w:w="658" w:type="dxa"/>
            <w:tcBorders/>
            <w:vAlign w:val="center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6175" w:type="dxa"/>
            <w:tcBorders/>
            <w:vAlign w:val="center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Наименование мероприятия</w:t>
            </w:r>
          </w:p>
        </w:tc>
        <w:tc>
          <w:tcPr>
            <w:tcW w:w="3078" w:type="dxa"/>
            <w:tcBorders/>
            <w:vAlign w:val="center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Объем </w:t>
            </w: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специального казначейского </w:t>
            </w:r>
            <w:bookmarkStart w:id="0" w:name="_Hlk133352432"/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bidi="ar-SA"/>
              </w:rPr>
              <w:t>кредита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vertAlign w:val="superscript"/>
                <w:lang w:val="ru-RU" w:bidi="ar-SA"/>
              </w:rPr>
              <w:t>1</w:t>
            </w:r>
            <w:bookmarkEnd w:id="0"/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ru-RU" w:bidi="ar-SA"/>
              </w:rPr>
              <w:t>(тыс. рублей)</w:t>
            </w:r>
          </w:p>
        </w:tc>
      </w:tr>
      <w:tr>
        <w:trPr/>
        <w:tc>
          <w:tcPr>
            <w:tcW w:w="65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6175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7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5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6175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7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5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5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7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65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5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Итого</w:t>
            </w:r>
          </w:p>
        </w:tc>
        <w:tc>
          <w:tcPr>
            <w:tcW w:w="3078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__________________</w:t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  <w:r>
        <w:rPr>
          <w:rFonts w:cs="Times New Roman" w:ascii="Times New Roman" w:hAnsi="Times New Roman"/>
          <w:color w:val="000000" w:themeColor="text1"/>
        </w:rPr>
        <w:t>- Сумма, указывается с разрядностью до 2-х знаков после запятой.</w:t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keepNext w:val="true"/>
        <w:spacing w:before="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настоящей заявке прилагаются</w:t>
      </w:r>
      <w:r>
        <w:rPr>
          <w:rFonts w:cs="Times New Roman" w:ascii="Times New Roman" w:hAnsi="Times New Roman"/>
          <w:color w:val="000000" w:themeColor="text1"/>
          <w:sz w:val="28"/>
          <w:szCs w:val="28"/>
          <w:vertAlign w:val="superscript"/>
        </w:rPr>
        <w:t xml:space="preserve">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fe"/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51"/>
        <w:gridCol w:w="7969"/>
      </w:tblGrid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1.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Пояснительная записка, включающая описание: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0" w:firstLine="1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текущего состояния регулярных перевозок пассажиров и багажа автомобильным транспортом, в том числе обеспечения транспортного обслуживания населения, проживающего в сельской местности,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0" w:firstLine="1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потребность в обновлении парка транспортных средств,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0" w:firstLine="1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социально-экономические эффекты от реализации мероприятий, заявленных на получение специальных казначейских кредитов.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2.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Реестры маршрутов регулярных перевозок, включающие маршруты</w:t>
              <w:br/>
              <w:t>в рамках реализуемых мероприятий, в соответствии со статьями 25, 26 Федерального закона от 13 июля 2015 г. № 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3.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Параметры реализации мероприятий по приобретению подвижного состава пассажирского транспорта общего пользования, заявленных</w:t>
              <w:br/>
              <w:t>на получение специальных казначейских кредитов (Таблица 1).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4.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Перечень информации для проведения оценки мероприятий</w:t>
              <w:br/>
              <w:t>по приобретению подвижного состава пассажирского транспорта общего пользования (только для заявок, включающих мероприятия, общий объем финансирования которых превышает лимит специального казначейского кредита) (Таблица 2).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5.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Перечень информации для проведения оценки экономических эффектов</w:t>
              <w:br/>
              <w:t>от реализации мероприятия (мероприятий), включая билетную выручку</w:t>
              <w:br/>
              <w:t>от перевозок пассажирским транспортом общего пользования (до и после реализации мероприятия (мероприятий), пассажиропоток на маршрутах, включенных в мероприятие (мероприятия), до и после реализации мероприятия (мероприятий), производственные затраты, связанные с осуществлением перевозок пассажирским транспортом, формирующие их себестоимость до и после реализации мероприятия (мероприятий).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6.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Финансовые параметры реализации мероприятия (мероприятий)</w:t>
              <w:br/>
              <w:t>с указанием источников финансирования (уровни бюджета, внебюджетные источники при наличии).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7.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Соглашение о намерении, заключенное между субъектом Российской Федерации и инвестором (при наличии).</w:t>
            </w:r>
          </w:p>
        </w:tc>
      </w:tr>
      <w:tr>
        <w:trPr>
          <w:cantSplit w:val="true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Приложение 8.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Копия поручения Президента Российской Федерации или Председателя Правительства Российской Федерации (при наличии).</w:t>
            </w:r>
          </w:p>
        </w:tc>
      </w:tr>
    </w:tbl>
    <w:p>
      <w:pPr>
        <w:pStyle w:val="Normal"/>
        <w:spacing w:before="60" w:after="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afe"/>
        <w:tblW w:w="10335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37"/>
        <w:gridCol w:w="2838"/>
        <w:gridCol w:w="2960"/>
      </w:tblGrid>
      <w:tr>
        <w:trPr/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Высшее должностное лицо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субъекта Российской Федерации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(председатель высшего исполнительного органа субъекта Российской Федерации)</w:t>
            </w:r>
          </w:p>
        </w:tc>
        <w:tc>
          <w:tcPr>
            <w:tcW w:w="2838" w:type="dxa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2838" w:type="dxa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ru-RU" w:bidi="ar-SA"/>
              </w:rPr>
              <w:t>(подпись)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ru-RU" w:bidi="ar-SA"/>
              </w:rPr>
              <w:t>(расшифровка подписи)</w:t>
            </w:r>
          </w:p>
        </w:tc>
      </w:tr>
    </w:tbl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- Указанная информация также предоставляется в электронном виде (в формате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en-US"/>
        </w:rPr>
        <w:t>excel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/word)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Таблица 1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(форма)</w:t>
      </w:r>
    </w:p>
    <w:p>
      <w:pPr>
        <w:pStyle w:val="Normal"/>
        <w:spacing w:before="0" w:after="0"/>
        <w:ind w:left="849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Параметры реализации мероприятий по приобретению подвижного состава пассажирского транспорта общего пользования, заявленных на получение специальных казначейских кредитов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W w:w="10349" w:type="dxa"/>
        <w:jc w:val="left"/>
        <w:tblInd w:w="-436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noVBand="1" w:val="04a0" w:noHBand="0" w:lastColumn="0" w:firstColumn="1" w:lastRow="0" w:firstRow="1"/>
      </w:tblPr>
      <w:tblGrid>
        <w:gridCol w:w="420"/>
        <w:gridCol w:w="993"/>
        <w:gridCol w:w="999"/>
        <w:gridCol w:w="421"/>
        <w:gridCol w:w="424"/>
        <w:gridCol w:w="432"/>
        <w:gridCol w:w="989"/>
        <w:gridCol w:w="1135"/>
        <w:gridCol w:w="1139"/>
        <w:gridCol w:w="423"/>
        <w:gridCol w:w="424"/>
        <w:gridCol w:w="431"/>
        <w:gridCol w:w="425"/>
        <w:gridCol w:w="430"/>
        <w:gridCol w:w="423"/>
        <w:gridCol w:w="838"/>
      </w:tblGrid>
      <w:tr>
        <w:trPr>
          <w:trHeight w:val="2714" w:hRule="atLeast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 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Номер маршрута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(если предлага</w:t>
              <w:softHyphen/>
              <w:t xml:space="preserve">ется установление нового - </w:t>
              <w:br/>
              <w:t>возможно оставить пустым)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Населен-ные пункты, входящие в маршрут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Количество автобусов по классам, ед.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Вид маршрута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(муниципальный, межмуниципальный)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Организация регулярных перевозок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(регулируемый тариф, нерегулируемый тариф)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Вид осуществ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ления транспорт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ной работы при регулируе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мом тарифе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(брутто контракт, нетто контракт)</w:t>
            </w:r>
          </w:p>
        </w:tc>
        <w:tc>
          <w:tcPr>
            <w:tcW w:w="1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Стоимость за единицу автобуса,  тыс. рублей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(с указанием производителя, марки и модели)</w:t>
            </w:r>
          </w:p>
        </w:tc>
        <w:tc>
          <w:tcPr>
            <w:tcW w:w="1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Стоимость автобусов итого,</w:t>
              <w:br/>
              <w:t>тыс. рублей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Плани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руемый срок поставки транс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портных средств, </w:t>
            </w:r>
            <w:r>
              <w:rPr>
                <w:rFonts w:cs="Times New Roman" w:ascii="Times New Roman" w:hAnsi="Times New Roman"/>
                <w:color w:val="000000"/>
                <w:sz w:val="18"/>
                <w:szCs w:val="20"/>
              </w:rPr>
              <w:t>дд.мм.гггг</w:t>
            </w:r>
          </w:p>
        </w:tc>
      </w:tr>
      <w:tr>
        <w:trPr>
          <w:trHeight w:val="566" w:hRule="atLeast"/>
        </w:trPr>
        <w:tc>
          <w:tcPr>
            <w:tcW w:w="4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большой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малый</w:t>
            </w:r>
          </w:p>
        </w:tc>
        <w:tc>
          <w:tcPr>
            <w:tcW w:w="98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большой</w:t>
            </w:r>
          </w:p>
        </w:tc>
        <w:tc>
          <w:tcPr>
            <w:tcW w:w="42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малый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большой</w:t>
            </w:r>
          </w:p>
        </w:tc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  <w:t>малый</w:t>
            </w:r>
          </w:p>
        </w:tc>
        <w:tc>
          <w:tcPr>
            <w:tcW w:w="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103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6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(мероприятия) в рамках лимита специального казначейского кредита</w:t>
            </w:r>
          </w:p>
        </w:tc>
      </w:tr>
      <w:tr>
        <w:trPr>
          <w:trHeight w:val="48" w:hRule="atLeast"/>
        </w:trPr>
        <w:tc>
          <w:tcPr>
            <w:tcW w:w="103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</w:tr>
      <w:tr>
        <w:trPr>
          <w:trHeight w:val="566" w:hRule="atLeast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2" wp14:anchorId="7E76821F">
                      <wp:simplePos x="0" y="0"/>
                      <wp:positionH relativeFrom="column">
                        <wp:posOffset>-452755</wp:posOffset>
                      </wp:positionH>
                      <wp:positionV relativeFrom="paragraph">
                        <wp:posOffset>3175</wp:posOffset>
                      </wp:positionV>
                      <wp:extent cx="2305050" cy="255270"/>
                      <wp:effectExtent l="0" t="0" r="3810" b="0"/>
                      <wp:wrapNone/>
                      <wp:docPr id="1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36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заполняется по каждому маршруту</w:t>
                                  </w:r>
                                </w:p>
                                <w:p>
                                  <w:pPr>
                                    <w:pStyle w:val="Style34"/>
                                    <w:widowControl w:val="false"/>
                                    <w:spacing w:before="0" w:after="160"/>
                                    <w:rPr>
                                      <w:i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fillcolor="white" stroked="f" style="position:absolute;margin-left:-35.65pt;margin-top:0.25pt;width:181.4pt;height:20pt;mso-wrap-style:square;v-text-anchor:top" wp14:anchorId="7E76821F">
                      <v:fill o:detectmouseclick="t" type="solid" color2="black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3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заполняется по каждому маршруту</w:t>
                            </w:r>
                          </w:p>
                          <w:p>
                            <w:pPr>
                              <w:pStyle w:val="Style34"/>
                              <w:widowControl w:val="false"/>
                              <w:spacing w:before="0" w:after="160"/>
                              <w:rPr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  …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2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по мероприятию, ед.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по мероприятию, тыс. рублей</w:t>
            </w: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103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6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(мероприятия), общий объем финансирования которого (ых) превышает лимит специального казначейского кредита</w:t>
            </w:r>
          </w:p>
        </w:tc>
      </w:tr>
      <w:tr>
        <w:trPr>
          <w:trHeight w:val="65" w:hRule="atLeast"/>
        </w:trPr>
        <w:tc>
          <w:tcPr>
            <w:tcW w:w="103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</w:tr>
      <w:tr>
        <w:trPr>
          <w:trHeight w:val="566" w:hRule="atLeast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4" wp14:anchorId="54D537F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19050</wp:posOffset>
                      </wp:positionV>
                      <wp:extent cx="2305050" cy="255270"/>
                      <wp:effectExtent l="0" t="0" r="3810" b="0"/>
                      <wp:wrapNone/>
                      <wp:docPr id="3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36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заполняется по каждому маршруту</w:t>
                                  </w:r>
                                </w:p>
                                <w:p>
                                  <w:pPr>
                                    <w:pStyle w:val="Style34"/>
                                    <w:widowControl w:val="false"/>
                                    <w:spacing w:before="0" w:after="160"/>
                                    <w:rPr>
                                      <w:i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fillcolor="white" stroked="f" style="position:absolute;margin-left:12.25pt;margin-top:1.5pt;width:181.4pt;height:20pt;mso-wrap-style:square;v-text-anchor:top" wp14:anchorId="54D537F2">
                      <v:fill o:detectmouseclick="t" type="solid" color2="black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3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заполняется по каждому маршруту</w:t>
                            </w:r>
                          </w:p>
                          <w:p>
                            <w:pPr>
                              <w:pStyle w:val="Style34"/>
                              <w:widowControl w:val="false"/>
                              <w:spacing w:before="0" w:after="160"/>
                              <w:rPr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  …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2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по мероприятию, ед.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по мероприятию, тыс. рублей</w:t>
            </w: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2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ИТОГО, ед.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ИТОГО, тыс. рублей</w:t>
            </w: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8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__________________</w:t>
      </w:r>
    </w:p>
    <w:p>
      <w:pPr>
        <w:sectPr>
          <w:headerReference w:type="default" r:id="rId2"/>
          <w:type w:val="nextPage"/>
          <w:pgSz w:w="11906" w:h="16838"/>
          <w:pgMar w:left="1418" w:right="567" w:header="425" w:top="993" w:footer="0" w:bottom="851" w:gutter="0"/>
          <w:pgNumType w:start="1" w:fmt="decimal"/>
          <w:formProt w:val="false"/>
          <w:titlePg/>
          <w:textDirection w:val="lrTb"/>
          <w:docGrid w:type="default" w:linePitch="360" w:charSpace="32768"/>
        </w:sect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- Указанная информация также предоставляется в электронном виде (в формате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en-US"/>
        </w:rPr>
        <w:t>excel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Таблица 2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Перечень информации для проведения оценки мероприятий по приобретению подвижного состава пассажирского транспорта общего пользования (только для заявок, включающих мероприятия, общий объем финансирования которых превышает лимит специального казначейского кредита)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</w:p>
    <w:p>
      <w:pPr>
        <w:pStyle w:val="Normal"/>
        <w:spacing w:before="0" w:after="0"/>
        <w:ind w:left="849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Style w:val="af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0"/>
        <w:gridCol w:w="3135"/>
        <w:gridCol w:w="6236"/>
      </w:tblGrid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Критерий</w:t>
            </w:r>
          </w:p>
        </w:tc>
        <w:tc>
          <w:tcPr>
            <w:tcW w:w="6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Необходимая информация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13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Наличие утвержденных документов транспортного планирования</w:t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Пояснительная записка о статусе разработки и утверждения документов транспортного планирования.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Утвержденные документы транспортного планирования: комплексная схема организации дорожного движения (КСОДД), комплексная схема организации транспортного обслуживания населения общественным транспортом (КСОТ), программа комплексного развития транспортной инфраструктуры (ПКРТИ).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3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Наличие мероприятий по приобретению подвижного состава пассажирского транспорта общего пользования в рамках мер региональной и (или) муниципальной поддержки, включенных в региональные программы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Паспорт региональной программы или иной документ, подтверждающий наличие мероприятий по приобретению подвижного состава пассажирского транспорта общего пользования в рамках мер региональной и (или) муниципальной поддержки за последние 3 года и плановый период до 2025 года.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13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Коэффициент покрытия билетной выручкой затрат связанных с осуществлением пассажирских перевозок по маршрутам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Расчет коэффициента покрытия билетной выручкой затрат, связанных с осуществлением пассажирских перевозок по маршрутам, с приложением подтверждающих документов и материалов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13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Наличие безналичной системы оплаты проезда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Документ, подтверждающий наличие безналичной системы оплаты проезда на маршрутах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13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Поставка транспортных средств на маршруты, обеспечивающие транспортное сообщение с сельскими населенными пунктами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Описание маршрута с указанием обслуживаемых населенных пунктов</w:t>
            </w:r>
          </w:p>
        </w:tc>
      </w:tr>
    </w:tbl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Style33"/>
        <w:spacing w:before="12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 -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Указанная информация также предоставляется в электронном виде (в формате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en-US"/>
        </w:rPr>
        <w:t>word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)</w:t>
      </w:r>
    </w:p>
    <w:sectPr>
      <w:headerReference w:type="default" r:id="rId3"/>
      <w:type w:val="nextPage"/>
      <w:pgSz w:w="11906" w:h="16838"/>
      <w:pgMar w:left="1418" w:right="567" w:header="425" w:top="993" w:footer="0" w:bottom="851" w:gutter="0"/>
      <w:pgNumType w:start="1"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SimSu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qFormat/>
    <w:rPr>
      <w:rFonts w:ascii="Segoe UI" w:hAnsi="Segoe UI" w:eastAsia="SimSu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eastAsia="SimSu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Pr>
      <w:rFonts w:eastAsia="SimSun"/>
      <w:lang w:eastAsia="ru-RU"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qFormat/>
    <w:rPr>
      <w:rFonts w:eastAsia="SimSu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uiPriority w:val="99"/>
    <w:qFormat/>
    <w:rPr>
      <w:rFonts w:eastAsia="SimSun"/>
      <w:b/>
      <w:bCs/>
      <w:sz w:val="20"/>
      <w:szCs w:val="20"/>
      <w:lang w:eastAsia="ru-RU"/>
    </w:rPr>
  </w:style>
  <w:style w:type="character" w:styleId="Style1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b51590"/>
    <w:rPr>
      <w:vertAlign w:val="superscript"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0709d2"/>
    <w:rPr>
      <w:rFonts w:eastAsia="SimSun"/>
      <w:sz w:val="20"/>
      <w:szCs w:val="20"/>
      <w:lang w:eastAsia="ru-RU"/>
    </w:rPr>
  </w:style>
  <w:style w:type="character" w:styleId="Style21" w:customStyle="1">
    <w:name w:val="Основной текст Знак"/>
    <w:basedOn w:val="DefaultParagraphFont"/>
    <w:uiPriority w:val="1"/>
    <w:qFormat/>
    <w:rsid w:val="00cd6036"/>
    <w:rPr>
      <w:rFonts w:ascii="Times New Roman" w:hAnsi="Times New Roman" w:eastAsia="Times New Roman" w:cs="Times New Roman"/>
      <w:sz w:val="28"/>
      <w:szCs w:val="28"/>
    </w:rPr>
  </w:style>
  <w:style w:type="character" w:styleId="Style22">
    <w:name w:val="Интернет-ссылка"/>
    <w:basedOn w:val="DefaultParagraphFont"/>
    <w:uiPriority w:val="99"/>
    <w:unhideWhenUsed/>
    <w:rsid w:val="009c2f21"/>
    <w:rPr>
      <w:color w:val="0000FF" w:themeColor="hyperlink"/>
      <w:u w:val="single"/>
    </w:rPr>
  </w:style>
  <w:style w:type="character" w:styleId="Style23" w:customStyle="1">
    <w:name w:val="Нумерация строк"/>
    <w:rPr/>
  </w:style>
  <w:style w:type="character" w:styleId="FontStyle51" w:customStyle="1">
    <w:name w:val="Font Style51"/>
    <w:uiPriority w:val="99"/>
    <w:qFormat/>
    <w:rsid w:val="005744f8"/>
    <w:rPr>
      <w:rFonts w:ascii="Times New Roman" w:hAnsi="Times New Roman" w:cs="Times New Roman"/>
      <w:sz w:val="26"/>
      <w:szCs w:val="26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uiPriority w:val="1"/>
    <w:qFormat/>
    <w:rsid w:val="00cd603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Style26">
    <w:name w:val="List"/>
    <w:basedOn w:val="Style25"/>
    <w:pPr/>
    <w:rPr>
      <w:rFonts w:ascii="Calibri" w:hAnsi="Calibri"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Calibri" w:hAnsi="Calibri"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Calibri" w:hAnsi="Calibri" w:cs="Droid Sans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1" w:customStyle="1">
    <w:name w:val="Заголовок1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ind w:left="-567" w:right="-284" w:hanging="0"/>
      <w:jc w:val="left"/>
    </w:pPr>
    <w:rPr>
      <w:rFonts w:ascii="Calibri" w:hAnsi="Calibri" w:eastAsia="Calibri" w:cs="SimSu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uiPriority w:val="9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qFormat/>
    <w:pPr/>
    <w:rPr>
      <w:b/>
      <w:bCs/>
    </w:rPr>
  </w:style>
  <w:style w:type="paragraph" w:styleId="Style33">
    <w:name w:val="Footnote Text"/>
    <w:basedOn w:val="Normal"/>
    <w:uiPriority w:val="99"/>
    <w:semiHidden/>
    <w:unhideWhenUsed/>
    <w:rsid w:val="000709d2"/>
    <w:pPr>
      <w:spacing w:lineRule="auto" w:line="240" w:before="0" w:after="0"/>
    </w:pPr>
    <w:rPr>
      <w:sz w:val="20"/>
      <w:szCs w:val="20"/>
    </w:rPr>
  </w:style>
  <w:style w:type="paragraph" w:styleId="ConsPlusCell" w:customStyle="1">
    <w:name w:val="ConsPlusCell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18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4"/>
      <w:szCs w:val="24"/>
      <w:lang w:val="ru-RU" w:eastAsia="ru-RU" w:bidi="ar-SA"/>
    </w:rPr>
  </w:style>
  <w:style w:type="paragraph" w:styleId="ConsPlusJurTerm" w:customStyle="1">
    <w:name w:val="ConsPlusJurTerm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extList1" w:customStyle="1">
    <w:name w:val="ConsPlusTextList1"/>
    <w:uiPriority w:val="99"/>
    <w:qFormat/>
    <w:rsid w:val="00b74ac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74ac6"/>
    <w:pPr>
      <w:spacing w:before="0" w:after="160"/>
      <w:ind w:left="720" w:hanging="0"/>
      <w:contextualSpacing/>
    </w:pPr>
    <w:rPr>
      <w:rFonts w:eastAsia="Times New Roman" w:cs="Times New Roman"/>
    </w:rPr>
  </w:style>
  <w:style w:type="paragraph" w:styleId="S1" w:customStyle="1">
    <w:name w:val="s_1"/>
    <w:basedOn w:val="Normal"/>
    <w:qFormat/>
    <w:rsid w:val="00cd5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22" w:customStyle="1">
    <w:name w:val="s_22"/>
    <w:basedOn w:val="Normal"/>
    <w:qFormat/>
    <w:rsid w:val="00cd5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d5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aa2583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SimSun"/>
      <w:color w:val="auto"/>
      <w:kern w:val="0"/>
      <w:sz w:val="22"/>
      <w:szCs w:val="22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39"/>
    <w:rsid w:val="005e56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<Relationship Id="rId13" Type="http://schemas.openxmlformats.org/officeDocument/2006/relationships/customXml" Target="../customXml/item6.xml"/><Relationship Id="rId14" Type="http://schemas.openxmlformats.org/officeDocument/2006/relationships/customXml" Target="../customXml/item7.xml"/><Relationship Id="rId15" Type="http://schemas.openxmlformats.org/officeDocument/2006/relationships/customXml" Target="../customXml/item8.xml"/><Relationship Id="rId16" Type="http://schemas.openxmlformats.org/officeDocument/2006/relationships/customXml" Target="../customXml/item9.xml"/><Relationship Id="rId17" Type="http://schemas.openxmlformats.org/officeDocument/2006/relationships/customXml" Target="../customXml/item10.xml"/><Relationship Id="rId18" Type="http://schemas.openxmlformats.org/officeDocument/2006/relationships/customXml" Target="../customXml/item11.xml"/><Relationship Id="rId19" Type="http://schemas.openxmlformats.org/officeDocument/2006/relationships/customXml" Target="../customXml/item1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
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
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
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
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D8E6BA5-56E4-4F7C-AB21-1C4A2890F69B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564915F5-7254-4819-BE82-2508FAED50D5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9E7E7969-9C12-414A-9633-A5E46764DA34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D9D1F1A5-7B47-4C8A-98D9-5E9C5BA8A6C7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048E271C-620B-425B-A245-3CEE0D9FB351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B095855-62F9-4F19-B25D-CA95AE8AB684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C42060A7-2041-4082-A8DD-7F85AE8011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D9C430-8921-41BC-A97D-26417CC03666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5D89CFE4-B436-47A1-ADC6-ED6D918D94B7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47258229-223C-4B36-A59C-4B226FD9AF81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E2B58EF2-2246-4E81-A4D9-2B982C05479E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D200F250-7311-41C5-8177-26CBF906B5F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LibreOffice/7.1.7.2$Linux_X86_64 LibreOffice_project/c6a4e3954236145e2acb0b65f68614365aeee33f</Application>
  <AppVersion>15.0000</AppVersion>
  <Pages>5</Pages>
  <Words>826</Words>
  <Characters>6392</Characters>
  <CharactersWithSpaces>7106</CharactersWithSpaces>
  <Paragraphs>117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2023-05-04T18:09:00Z</dcterms:created>
  <dc:creator>Ali Yandiev</dc:creator>
  <dc:description/>
  <dc:language>ru-RU</dc:language>
  <cp:lastModifiedBy/>
  <cp:lastPrinted>2023-03-01T08:36:00Z</cp:lastPrinted>
  <dcterms:modified xsi:type="dcterms:W3CDTF">2023-05-10T11:35:52Z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34472ac47aa94eedb8645df34165b192</vt:lpwstr>
  </property>
</Properties>
</file>