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_rels/.rels" ContentType="application/vnd.openxmlformats-package.relationships+xml"/>
  <Override PartName="/customXml/item12.xml" ContentType="application/xml"/>
  <Override PartName="/customXml/item11.xml" ContentType="application/xml"/>
  <Override PartName="/customXml/item10.xml" ContentType="application/xml"/>
  <Override PartName="/customXml/itemProps10.xml" ContentType="application/vnd.openxmlformats-officedocument.customXmlProperties+xml"/>
  <Override PartName="/customXml/itemProps12.xml" ContentType="application/vnd.openxmlformats-officedocument.customXmlProperties+xml"/>
  <Override PartName="/customXml/itemProps11.xml" ContentType="application/vnd.openxmlformats-officedocument.customXmlProperties+xml"/>
  <Override PartName="/customXml/item5.xml" ContentType="application/xml"/>
  <Override PartName="/customXml/item6.xml" ContentType="application/xml"/>
  <Override PartName="/customXml/item4.xml" ContentType="application/xml"/>
  <Override PartName="/customXml/item8.xml" ContentType="application/xml"/>
  <Override PartName="/customXml/item3.xml" ContentType="application/xml"/>
  <Override PartName="/customXml/item7.xml" ContentType="application/xml"/>
  <Override PartName="/customXml/item9.xml" ContentType="application/xml"/>
  <Override PartName="/customXml/item2.xml" ContentType="application/xml"/>
  <Override PartName="/customXml/item1.xml" ContentType="application/xml"/>
  <Override PartName="/customXml/_rels/item3.xml.rels" ContentType="application/vnd.openxmlformats-package.relationships+xml"/>
  <Override PartName="/customXml/_rels/item9.xml.rels" ContentType="application/vnd.openxmlformats-package.relationships+xml"/>
  <Override PartName="/customXml/_rels/item1.xml.rels" ContentType="application/vnd.openxmlformats-package.relationships+xml"/>
  <Override PartName="/customXml/_rels/item12.xml.rels" ContentType="application/vnd.openxmlformats-package.relationships+xml"/>
  <Override PartName="/customXml/_rels/item4.xml.rels" ContentType="application/vnd.openxmlformats-package.relationships+xml"/>
  <Override PartName="/customXml/_rels/item6.xml.rels" ContentType="application/vnd.openxmlformats-package.relationships+xml"/>
  <Override PartName="/customXml/_rels/item7.xml.rels" ContentType="application/vnd.openxmlformats-package.relationships+xml"/>
  <Override PartName="/customXml/_rels/item5.xml.rels" ContentType="application/vnd.openxmlformats-package.relationships+xml"/>
  <Override PartName="/customXml/_rels/item11.xml.rels" ContentType="application/vnd.openxmlformats-package.relationships+xml"/>
  <Override PartName="/customXml/_rels/item2.xml.rels" ContentType="application/vnd.openxmlformats-package.relationships+xml"/>
  <Override PartName="/customXml/_rels/item10.xml.rels" ContentType="application/vnd.openxmlformats-package.relationships+xml"/>
  <Override PartName="/customXml/_rels/item8.xml.rels" ContentType="application/vnd.openxmlformats-package.relationships+xml"/>
  <Override PartName="/customXml/itemProps8.xml" ContentType="application/vnd.openxmlformats-officedocument.customXml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9.xml" ContentType="application/vnd.openxmlformats-officedocument.customXml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5"/>
        <w:spacing w:before="0" w:after="120"/>
        <w:ind w:left="5046" w:right="113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Cs/>
          <w:color w:val="000000" w:themeColor="text1"/>
          <w:sz w:val="24"/>
        </w:rPr>
        <w:t>Приложение № 2</w:t>
      </w:r>
    </w:p>
    <w:p>
      <w:pPr>
        <w:pStyle w:val="ConsPlusNonformat"/>
        <w:ind w:left="4956" w:hanging="0"/>
        <w:jc w:val="center"/>
        <w:rPr>
          <w:rFonts w:ascii="Times New Roman" w:hAnsi="Times New Roman" w:cs="Times New Roman"/>
          <w:bCs/>
          <w:sz w:val="24"/>
          <w:szCs w:val="28"/>
        </w:rPr>
      </w:pPr>
      <w:r>
        <w:rPr>
          <w:rFonts w:cs="Times New Roman" w:ascii="Times New Roman" w:hAnsi="Times New Roman"/>
          <w:bCs/>
          <w:sz w:val="24"/>
          <w:szCs w:val="28"/>
        </w:rPr>
        <w:t xml:space="preserve">к Методике одобрения мероприятий </w:t>
        <w:br/>
        <w:t>по приобретению подвижного состава пассажирского транспорта общего пользования, источником финансового обеспечения расходов на реализацию которых являются специальные казначейские кредиты</w:t>
      </w:r>
    </w:p>
    <w:p>
      <w:pPr>
        <w:pStyle w:val="ConsPlusNonformat"/>
        <w:spacing w:before="120" w:after="160"/>
        <w:ind w:left="4956" w:hanging="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8"/>
        </w:rPr>
      </w:r>
    </w:p>
    <w:p>
      <w:pPr>
        <w:pStyle w:val="ConsPlusNonformat"/>
        <w:spacing w:before="120" w:after="160"/>
        <w:ind w:left="4956" w:hanging="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8"/>
        </w:rPr>
      </w:r>
    </w:p>
    <w:p>
      <w:pPr>
        <w:pStyle w:val="ConsPlusNonformat"/>
        <w:ind w:left="5102" w:hanging="0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Cs/>
          <w:color w:val="000000" w:themeColor="text1"/>
          <w:sz w:val="28"/>
          <w:szCs w:val="28"/>
        </w:rPr>
        <w:t>(форма)</w:t>
      </w:r>
    </w:p>
    <w:p>
      <w:pPr>
        <w:pStyle w:val="ConsPlusNonformat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Cs/>
          <w:color w:val="000000" w:themeColor="text1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Cs/>
          <w:color w:val="000000" w:themeColor="text1"/>
          <w:sz w:val="28"/>
          <w:szCs w:val="28"/>
        </w:rPr>
        <w:t>ЗАЯВКА</w:t>
      </w:r>
    </w:p>
    <w:p>
      <w:pPr>
        <w:pStyle w:val="ConsPlusNonformat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Cs/>
          <w:color w:val="000000" w:themeColor="text1"/>
          <w:sz w:val="28"/>
          <w:szCs w:val="28"/>
        </w:rPr>
        <w:t xml:space="preserve">на финансирование мероприятий по приобретению подвижного состава пассажирского транспорта общего пользования, источником финансового обеспечения расходов на реализацию которых являются специальные казначейские кредиты,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предоставляемые Федеральным казначейством за счет временно свободных средств единого счета федерального бюджета бюджетам субъектов</w:t>
      </w:r>
      <w:r>
        <w:rPr>
          <w:rFonts w:cs="Times New Roman" w:ascii="Times New Roman" w:hAnsi="Times New Roman"/>
          <w:bCs/>
          <w:color w:val="000000" w:themeColor="text1"/>
          <w:sz w:val="28"/>
          <w:szCs w:val="28"/>
        </w:rPr>
        <w:t xml:space="preserve"> Российской Федерации </w:t>
      </w:r>
    </w:p>
    <w:p>
      <w:pPr>
        <w:pStyle w:val="ConsPlusNonformat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Cs/>
          <w:color w:val="000000" w:themeColor="text1"/>
          <w:sz w:val="28"/>
          <w:szCs w:val="28"/>
        </w:rPr>
        <w:t xml:space="preserve">(далее -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специальные казначейские</w:t>
      </w:r>
      <w:r>
        <w:rPr>
          <w:rFonts w:cs="Times New Roman" w:ascii="Times New Roman" w:hAnsi="Times New Roman"/>
          <w:bCs/>
          <w:color w:val="000000" w:themeColor="text1"/>
          <w:sz w:val="28"/>
          <w:szCs w:val="28"/>
        </w:rPr>
        <w:t xml:space="preserve"> кредиты)</w:t>
      </w:r>
    </w:p>
    <w:p>
      <w:pPr>
        <w:pStyle w:val="ConsPlusNonformat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Cs/>
          <w:color w:val="000000" w:themeColor="text1"/>
          <w:sz w:val="28"/>
          <w:szCs w:val="28"/>
        </w:rPr>
      </w:r>
    </w:p>
    <w:tbl>
      <w:tblPr>
        <w:tblStyle w:val="afe"/>
        <w:tblW w:w="99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318"/>
        <w:gridCol w:w="5602"/>
      </w:tblGrid>
      <w:tr>
        <w:trPr>
          <w:trHeight w:val="510" w:hRule="atLeast"/>
        </w:trPr>
        <w:tc>
          <w:tcPr>
            <w:tcW w:w="992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>
            <w:pPr>
              <w:pStyle w:val="ConsPlusNonformat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color w:val="000000" w:themeColor="text1"/>
                <w:sz w:val="28"/>
                <w:szCs w:val="28"/>
              </w:rPr>
            </w:r>
          </w:p>
        </w:tc>
      </w:tr>
      <w:tr>
        <w:trPr>
          <w:trHeight w:val="510" w:hRule="atLeast"/>
        </w:trPr>
        <w:tc>
          <w:tcPr>
            <w:tcW w:w="9920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ConsPlusNonformat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2"/>
                <w:szCs w:val="28"/>
                <w:lang w:val="ru-RU" w:bidi="ar-SA"/>
              </w:rPr>
              <w:t>(наименование высшего должностного лица субъекта Российской Федерации (председателя высшего исполнительного органа субъекта Российской Федерации))</w:t>
            </w:r>
          </w:p>
        </w:tc>
      </w:tr>
      <w:tr>
        <w:trPr>
          <w:trHeight w:val="510" w:hRule="atLeast"/>
        </w:trPr>
        <w:tc>
          <w:tcPr>
            <w:tcW w:w="9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заявляет о наличии потребности в использовании специальных казначейских кредитов на финансирование мероприятий по приобретению подвижного состава пассажирского транспорта общего пользования в размере</w:t>
            </w:r>
            <w:r>
              <w:rPr>
                <w:rFonts w:cs="Times New Roman" w:ascii="Times New Roman" w:hAnsi="Times New Roman"/>
                <w:color w:val="000000" w:themeColor="text1"/>
                <w:kern w:val="0"/>
                <w:sz w:val="28"/>
                <w:szCs w:val="28"/>
                <w:vertAlign w:val="superscript"/>
                <w:lang w:val="ru-RU" w:bidi="ar-SA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4318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pStyle w:val="ConsPlusNonformat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W w:w="5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ConsPlusNonforma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тыс. рублей.</w:t>
            </w:r>
          </w:p>
        </w:tc>
      </w:tr>
    </w:tbl>
    <w:p>
      <w:pPr>
        <w:pStyle w:val="ConsPlusNonformat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Cs/>
          <w:color w:val="000000" w:themeColor="text1"/>
          <w:sz w:val="28"/>
          <w:szCs w:val="28"/>
        </w:rPr>
      </w: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Перечень мероприятий по приобретению подвижного состава пассажирского транспорта общего пользования:</w:t>
      </w:r>
    </w:p>
    <w:tbl>
      <w:tblPr>
        <w:tblStyle w:val="afe"/>
        <w:tblW w:w="99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58"/>
        <w:gridCol w:w="6175"/>
        <w:gridCol w:w="3078"/>
      </w:tblGrid>
      <w:tr>
        <w:trPr/>
        <w:tc>
          <w:tcPr>
            <w:tcW w:w="658" w:type="dxa"/>
            <w:tcBorders/>
            <w:vAlign w:val="center"/>
          </w:tcPr>
          <w:p>
            <w:pPr>
              <w:pStyle w:val="ConsPlusNonformat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№</w:t>
            </w:r>
          </w:p>
        </w:tc>
        <w:tc>
          <w:tcPr>
            <w:tcW w:w="6175" w:type="dxa"/>
            <w:tcBorders/>
            <w:vAlign w:val="center"/>
          </w:tcPr>
          <w:p>
            <w:pPr>
              <w:pStyle w:val="ConsPlusNonformat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Наименование мероприятия</w:t>
            </w:r>
          </w:p>
        </w:tc>
        <w:tc>
          <w:tcPr>
            <w:tcW w:w="3078" w:type="dxa"/>
            <w:tcBorders/>
            <w:vAlign w:val="center"/>
          </w:tcPr>
          <w:p>
            <w:pPr>
              <w:pStyle w:val="ConsPlusNonformat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 xml:space="preserve">Объем </w:t>
            </w:r>
            <w:r>
              <w:rPr>
                <w:rFonts w:cs="Times New Roman" w:ascii="Times New Roman" w:hAnsi="Times New Roman"/>
                <w:bCs/>
                <w:color w:val="000000" w:themeColor="text1"/>
                <w:kern w:val="0"/>
                <w:sz w:val="28"/>
                <w:szCs w:val="28"/>
                <w:lang w:val="ru-RU" w:bidi="ar-SA"/>
              </w:rPr>
              <w:t xml:space="preserve">специального казначейского </w:t>
            </w:r>
            <w:bookmarkStart w:id="0" w:name="_Hlk133352432"/>
            <w:r>
              <w:rPr>
                <w:rFonts w:cs="Times New Roman" w:ascii="Times New Roman" w:hAnsi="Times New Roman"/>
                <w:bCs/>
                <w:color w:val="000000" w:themeColor="text1"/>
                <w:kern w:val="0"/>
                <w:sz w:val="28"/>
                <w:szCs w:val="28"/>
                <w:lang w:val="ru-RU" w:bidi="ar-SA"/>
              </w:rPr>
              <w:t>кредита</w:t>
            </w:r>
            <w:r>
              <w:rPr>
                <w:rFonts w:cs="Times New Roman" w:ascii="Times New Roman" w:hAnsi="Times New Roman"/>
                <w:color w:val="000000" w:themeColor="text1"/>
                <w:kern w:val="0"/>
                <w:sz w:val="28"/>
                <w:szCs w:val="28"/>
                <w:vertAlign w:val="superscript"/>
                <w:lang w:val="ru-RU" w:bidi="ar-SA"/>
              </w:rPr>
              <w:t>1</w:t>
            </w:r>
            <w:bookmarkEnd w:id="0"/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lang w:val="ru-RU" w:bidi="ar-SA"/>
              </w:rPr>
              <w:t>(тыс. рублей)</w:t>
            </w:r>
          </w:p>
        </w:tc>
      </w:tr>
      <w:tr>
        <w:trPr/>
        <w:tc>
          <w:tcPr>
            <w:tcW w:w="658" w:type="dxa"/>
            <w:tcBorders/>
          </w:tcPr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6175" w:type="dxa"/>
            <w:tcBorders/>
          </w:tcPr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W w:w="3078" w:type="dxa"/>
            <w:tcBorders/>
          </w:tcPr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W w:w="658" w:type="dxa"/>
            <w:tcBorders/>
          </w:tcPr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2</w:t>
            </w:r>
          </w:p>
        </w:tc>
        <w:tc>
          <w:tcPr>
            <w:tcW w:w="6175" w:type="dxa"/>
            <w:tcBorders/>
          </w:tcPr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W w:w="3078" w:type="dxa"/>
            <w:tcBorders/>
          </w:tcPr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W w:w="658" w:type="dxa"/>
            <w:tcBorders/>
          </w:tcPr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W w:w="6175" w:type="dxa"/>
            <w:tcBorders/>
          </w:tcPr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W w:w="3078" w:type="dxa"/>
            <w:tcBorders/>
          </w:tcPr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W w:w="658" w:type="dxa"/>
            <w:tcBorders/>
          </w:tcPr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W w:w="6175" w:type="dxa"/>
            <w:tcBorders/>
          </w:tcPr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Итого</w:t>
            </w:r>
          </w:p>
        </w:tc>
        <w:tc>
          <w:tcPr>
            <w:tcW w:w="3078" w:type="dxa"/>
            <w:tcBorders/>
          </w:tcPr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</w:tc>
      </w:tr>
    </w:tbl>
    <w:p>
      <w:pPr>
        <w:pStyle w:val="Style33"/>
        <w:spacing w:before="12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Style33"/>
        <w:spacing w:before="12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Style33"/>
        <w:spacing w:before="12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Style33"/>
        <w:spacing w:before="12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Style33"/>
        <w:spacing w:before="12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__________________</w:t>
      </w:r>
    </w:p>
    <w:p>
      <w:pPr>
        <w:pStyle w:val="Style33"/>
        <w:spacing w:before="12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  <w:vertAlign w:val="superscript"/>
        </w:rPr>
        <w:t>1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 </w:t>
      </w:r>
      <w:r>
        <w:rPr>
          <w:rFonts w:cs="Times New Roman" w:ascii="Times New Roman" w:hAnsi="Times New Roman"/>
          <w:color w:val="000000" w:themeColor="text1"/>
        </w:rPr>
        <w:t>- Сумма, указывается с разрядностью до 2-х знаков после запятой.</w:t>
      </w:r>
    </w:p>
    <w:p>
      <w:pPr>
        <w:pStyle w:val="Style33"/>
        <w:spacing w:before="12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Normal"/>
        <w:keepNext w:val="true"/>
        <w:spacing w:before="0" w:after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 настоящей заявке прилагаются</w:t>
      </w:r>
      <w:r>
        <w:rPr>
          <w:rFonts w:cs="Times New Roman" w:ascii="Times New Roman" w:hAnsi="Times New Roman"/>
          <w:color w:val="000000" w:themeColor="text1"/>
          <w:sz w:val="28"/>
          <w:szCs w:val="28"/>
          <w:vertAlign w:val="superscript"/>
        </w:rPr>
        <w:t xml:space="preserve"> 2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:</w:t>
      </w:r>
    </w:p>
    <w:tbl>
      <w:tblPr>
        <w:tblStyle w:val="afe"/>
        <w:tblW w:w="99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951"/>
        <w:gridCol w:w="7969"/>
      </w:tblGrid>
      <w:tr>
        <w:trPr>
          <w:cantSplit w:val="true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bidi="ar-SA"/>
              </w:rPr>
              <w:t>Приложение 1.</w:t>
            </w:r>
          </w:p>
        </w:tc>
        <w:tc>
          <w:tcPr>
            <w:tcW w:w="7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bidi="ar-SA"/>
              </w:rPr>
              <w:t>Пояснительная записка, включающая описание: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60" w:after="60"/>
              <w:ind w:left="0" w:firstLine="113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ru-RU" w:bidi="ar-SA"/>
              </w:rPr>
              <w:t>текущего состояния регулярных перевозок пассажиров и багажа автомобильным транспортом, в том числе обеспечения транспортного обслуживания населения, проживающего в сельской местности,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60" w:after="60"/>
              <w:ind w:left="0" w:firstLine="113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ru-RU" w:bidi="ar-SA"/>
              </w:rPr>
              <w:t>потребность в обновлении парка транспортных средств,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60" w:after="60"/>
              <w:ind w:left="0" w:firstLine="113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val="ru-RU" w:bidi="ar-SA"/>
              </w:rPr>
              <w:t>социально-экономические эффекты от реализации мероприятий, заявленных на получение специальных казначейских кредитов.</w:t>
            </w:r>
          </w:p>
        </w:tc>
      </w:tr>
      <w:tr>
        <w:trPr>
          <w:cantSplit w:val="true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bidi="ar-SA"/>
              </w:rPr>
              <w:t>Приложение 2.</w:t>
            </w:r>
          </w:p>
        </w:tc>
        <w:tc>
          <w:tcPr>
            <w:tcW w:w="7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bidi="ar-SA"/>
              </w:rPr>
              <w:t>Реестры маршрутов регулярных перевозок, включающие маршруты</w:t>
              <w:br/>
              <w:t>в рамках реализуемых мероприятий, в соответствии со статьями 25, 26 Федерального закона от 13 июля 2015 г. № 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Федерации".</w:t>
            </w:r>
          </w:p>
        </w:tc>
      </w:tr>
      <w:tr>
        <w:trPr>
          <w:cantSplit w:val="true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bidi="ar-SA"/>
              </w:rPr>
              <w:t>Приложение 3.</w:t>
            </w:r>
          </w:p>
        </w:tc>
        <w:tc>
          <w:tcPr>
            <w:tcW w:w="7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bidi="ar-SA"/>
              </w:rPr>
              <w:t>Параметры реализации мероприятий по приобретению подвижного состава пассажирского транспорта общего пользования, заявленных</w:t>
              <w:br/>
              <w:t>на получение специальных казначейских кредитов (Таблица 1).</w:t>
            </w:r>
          </w:p>
        </w:tc>
      </w:tr>
      <w:tr>
        <w:trPr>
          <w:cantSplit w:val="true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bidi="ar-SA"/>
              </w:rPr>
              <w:t>Приложение 4.</w:t>
            </w:r>
          </w:p>
        </w:tc>
        <w:tc>
          <w:tcPr>
            <w:tcW w:w="7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bidi="ar-SA"/>
              </w:rPr>
              <w:t>Перечень информации для проведения оценки мероприятий</w:t>
              <w:br/>
              <w:t>по приобретению подвижного состава пассажирского транспорта общего пользования (только для заявок, включающих мероприятия, общий объем финансирования которых превышает лимит специального казначейского кредита) (Таблица 2).</w:t>
            </w:r>
          </w:p>
        </w:tc>
      </w:tr>
      <w:tr>
        <w:trPr>
          <w:cantSplit w:val="true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bidi="ar-SA"/>
              </w:rPr>
              <w:t>Приложение 5.</w:t>
            </w:r>
          </w:p>
        </w:tc>
        <w:tc>
          <w:tcPr>
            <w:tcW w:w="7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bidi="ar-SA"/>
              </w:rPr>
              <w:t>Перечень информации для проведения оценки экономических эффектов</w:t>
              <w:br/>
              <w:t>от реализации мероприятия (мероприятий), включая билетную выручку</w:t>
              <w:br/>
              <w:t>от перевозок пассажирским транспортом общего пользования (до и после реализации мероприятия (мероприятий), пассажиропоток на маршрутах, включенных в мероприятие (мероприятия), до и после реализации мероприятия (мероприятий), производственные затраты, связанные с осуществлением перевозок пассажирским транспортом, формирующие их себестоимость до и после реализации мероприятия (мероприятий).</w:t>
            </w:r>
          </w:p>
        </w:tc>
      </w:tr>
      <w:tr>
        <w:trPr>
          <w:cantSplit w:val="true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bidi="ar-SA"/>
              </w:rPr>
              <w:t>Приложение 6.</w:t>
            </w:r>
          </w:p>
        </w:tc>
        <w:tc>
          <w:tcPr>
            <w:tcW w:w="7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bidi="ar-SA"/>
              </w:rPr>
              <w:t>Финансовые параметры реализации мероприятия (мероприятий)</w:t>
              <w:br/>
              <w:t>с указанием источников финансирования (уровни бюджета, внебюджетные источники при наличии).</w:t>
            </w:r>
          </w:p>
        </w:tc>
      </w:tr>
      <w:tr>
        <w:trPr>
          <w:cantSplit w:val="true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bidi="ar-SA"/>
              </w:rPr>
              <w:t>Приложение 7.</w:t>
            </w:r>
          </w:p>
        </w:tc>
        <w:tc>
          <w:tcPr>
            <w:tcW w:w="7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bidi="ar-SA"/>
              </w:rPr>
              <w:t>Соглашение о намерении, заключенное между субъектом Российской Федерации и инвестором (при наличии).</w:t>
            </w:r>
          </w:p>
        </w:tc>
      </w:tr>
      <w:tr>
        <w:trPr>
          <w:cantSplit w:val="true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bidi="ar-SA"/>
              </w:rPr>
              <w:t>Приложение 8.</w:t>
            </w:r>
          </w:p>
        </w:tc>
        <w:tc>
          <w:tcPr>
            <w:tcW w:w="7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bidi="ar-SA"/>
              </w:rPr>
              <w:t>Копия поручения Президента Российской Федерации или Председателя Правительства Российской Федерации (при наличии).</w:t>
            </w:r>
          </w:p>
        </w:tc>
      </w:tr>
    </w:tbl>
    <w:p>
      <w:pPr>
        <w:pStyle w:val="Normal"/>
        <w:spacing w:before="60" w:after="6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tbl>
      <w:tblPr>
        <w:tblStyle w:val="afe"/>
        <w:tblW w:w="10335" w:type="dxa"/>
        <w:jc w:val="left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537"/>
        <w:gridCol w:w="2838"/>
        <w:gridCol w:w="2960"/>
      </w:tblGrid>
      <w:tr>
        <w:trPr/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nforma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Высшее должностное лицо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субъекта Российской Федерации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(председатель высшего исполнительного органа субъекта Российской Федерации)</w:t>
            </w:r>
          </w:p>
        </w:tc>
        <w:tc>
          <w:tcPr>
            <w:tcW w:w="2838" w:type="dxa"/>
            <w:tcBorders>
              <w:top w:val="nil"/>
              <w:left w:val="nil"/>
              <w:right w:val="nil"/>
            </w:tcBorders>
          </w:tcPr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nformat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</w:r>
          </w:p>
        </w:tc>
        <w:tc>
          <w:tcPr>
            <w:tcW w:w="2838" w:type="dxa"/>
            <w:tcBorders>
              <w:left w:val="nil"/>
              <w:bottom w:val="nil"/>
              <w:right w:val="nil"/>
            </w:tcBorders>
          </w:tcPr>
          <w:p>
            <w:pPr>
              <w:pStyle w:val="ConsPlusNonformat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lang w:val="ru-RU" w:bidi="ar-SA"/>
              </w:rPr>
              <w:t>(подпись)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nformat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lang w:val="ru-RU" w:bidi="ar-SA"/>
              </w:rPr>
              <w:t>(расшифровка подписи)</w:t>
            </w:r>
          </w:p>
        </w:tc>
      </w:tr>
    </w:tbl>
    <w:p>
      <w:pPr>
        <w:pStyle w:val="Style33"/>
        <w:spacing w:before="12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vertAlign w:val="superscript"/>
        </w:rPr>
        <w:t>2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 </w:t>
      </w:r>
      <w:r>
        <w:rPr>
          <w:rFonts w:cs="Times New Roman" w:ascii="Times New Roman" w:hAnsi="Times New Roman"/>
          <w:color w:val="000000" w:themeColor="text1"/>
          <w:sz w:val="20"/>
          <w:szCs w:val="20"/>
        </w:rPr>
        <w:t xml:space="preserve">- Указанная информация также предоставляется в электронном виде (в формате </w:t>
      </w:r>
      <w:r>
        <w:rPr>
          <w:rFonts w:cs="Times New Roman" w:ascii="Times New Roman" w:hAnsi="Times New Roman"/>
          <w:color w:val="000000" w:themeColor="text1"/>
          <w:sz w:val="20"/>
          <w:szCs w:val="20"/>
          <w:lang w:val="en-US"/>
        </w:rPr>
        <w:t>excel</w:t>
      </w:r>
      <w:r>
        <w:rPr>
          <w:rFonts w:cs="Times New Roman" w:ascii="Times New Roman" w:hAnsi="Times New Roman"/>
          <w:color w:val="000000" w:themeColor="text1"/>
          <w:sz w:val="20"/>
          <w:szCs w:val="20"/>
        </w:rPr>
        <w:t>/word)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Таблица 1 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(форма)</w:t>
      </w:r>
    </w:p>
    <w:p>
      <w:pPr>
        <w:pStyle w:val="Normal"/>
        <w:spacing w:before="0" w:after="0"/>
        <w:ind w:left="8496" w:hanging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color w:val="000000" w:themeColor="text1"/>
          <w:sz w:val="24"/>
          <w:szCs w:val="24"/>
          <w:vertAlign w:val="superscript"/>
        </w:rPr>
      </w:pPr>
      <w:r>
        <w:rPr>
          <w:rFonts w:cs="Times New Roman" w:ascii="Times New Roman" w:hAnsi="Times New Roman"/>
          <w:b/>
          <w:bCs/>
          <w:color w:val="000000" w:themeColor="text1"/>
          <w:sz w:val="24"/>
          <w:szCs w:val="24"/>
        </w:rPr>
        <w:t xml:space="preserve">Параметры реализации мероприятий по приобретению подвижного состава пассажирского транспорта общего пользования, заявленных на получение специальных казначейских кредитов </w:t>
      </w:r>
      <w:r>
        <w:rPr>
          <w:rFonts w:cs="Times New Roman" w:ascii="Times New Roman" w:hAnsi="Times New Roman"/>
          <w:b/>
          <w:bCs/>
          <w:color w:val="000000" w:themeColor="text1"/>
          <w:sz w:val="24"/>
          <w:szCs w:val="24"/>
          <w:vertAlign w:val="superscript"/>
        </w:rPr>
        <w:t>1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tbl>
      <w:tblPr>
        <w:tblW w:w="10349" w:type="dxa"/>
        <w:jc w:val="left"/>
        <w:tblInd w:w="-436" w:type="dxa"/>
        <w:tblLayout w:type="fixed"/>
        <w:tblCellMar>
          <w:top w:w="15" w:type="dxa"/>
          <w:left w:w="15" w:type="dxa"/>
          <w:bottom w:w="0" w:type="dxa"/>
          <w:right w:w="15" w:type="dxa"/>
        </w:tblCellMar>
        <w:tblLook w:noVBand="1" w:val="04a0" w:noHBand="0" w:lastColumn="0" w:firstColumn="1" w:lastRow="0" w:firstRow="1"/>
      </w:tblPr>
      <w:tblGrid>
        <w:gridCol w:w="420"/>
        <w:gridCol w:w="993"/>
        <w:gridCol w:w="999"/>
        <w:gridCol w:w="421"/>
        <w:gridCol w:w="424"/>
        <w:gridCol w:w="432"/>
        <w:gridCol w:w="989"/>
        <w:gridCol w:w="1135"/>
        <w:gridCol w:w="1139"/>
        <w:gridCol w:w="423"/>
        <w:gridCol w:w="424"/>
        <w:gridCol w:w="431"/>
        <w:gridCol w:w="425"/>
        <w:gridCol w:w="430"/>
        <w:gridCol w:w="423"/>
        <w:gridCol w:w="838"/>
      </w:tblGrid>
      <w:tr>
        <w:trPr>
          <w:trHeight w:val="2714" w:hRule="atLeast"/>
        </w:trPr>
        <w:tc>
          <w:tcPr>
            <w:tcW w:w="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№ 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Номер маршрута </w:t>
            </w: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  <w:t>(если предлага</w:t>
              <w:softHyphen/>
              <w:t xml:space="preserve">ется установление нового - </w:t>
              <w:br/>
              <w:t>возможно оставить пустым)</w:t>
            </w:r>
          </w:p>
        </w:tc>
        <w:tc>
          <w:tcPr>
            <w:tcW w:w="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Населен-ные пункты, входящие в маршрут</w:t>
            </w:r>
          </w:p>
        </w:tc>
        <w:tc>
          <w:tcPr>
            <w:tcW w:w="1277" w:type="dxa"/>
            <w:gridSpan w:val="3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Количество автобусов по классам, ед.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Вид маршрута </w:t>
            </w: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  <w:t>(муниципальный, межмуниципальный)</w:t>
            </w:r>
          </w:p>
        </w:tc>
        <w:tc>
          <w:tcPr>
            <w:tcW w:w="11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Организация регулярных перевозок </w:t>
            </w: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  <w:t>(регулируемый тариф, нерегулируемый тариф)</w:t>
            </w:r>
          </w:p>
        </w:tc>
        <w:tc>
          <w:tcPr>
            <w:tcW w:w="11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Вид осуществ</w:t>
            </w: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  <w:softHyphen/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ления транспорт</w:t>
            </w: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  <w:softHyphen/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ной работы при регулируе</w:t>
            </w: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  <w:softHyphen/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мом тарифе </w:t>
            </w: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  <w:t>(брутто контракт, нетто контракт)</w:t>
            </w:r>
          </w:p>
        </w:tc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Стоимость за единицу автобуса,  тыс. рублей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  <w:t>(с указанием производителя, марки и модели)</w:t>
            </w:r>
          </w:p>
        </w:tc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Стоимость автобусов итого,</w:t>
              <w:br/>
              <w:t>тыс. рублей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right w:w="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Плани</w:t>
            </w: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  <w:softHyphen/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руемый срок поставки транс</w:t>
            </w: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  <w:softHyphen/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портных средств, </w:t>
            </w:r>
            <w:r>
              <w:rPr>
                <w:rFonts w:cs="Times New Roman" w:ascii="Times New Roman" w:hAnsi="Times New Roman"/>
                <w:color w:val="000000"/>
                <w:sz w:val="18"/>
                <w:szCs w:val="20"/>
              </w:rPr>
              <w:t>дд.мм.гггг</w:t>
            </w:r>
          </w:p>
        </w:tc>
      </w:tr>
      <w:tr>
        <w:trPr>
          <w:trHeight w:val="566" w:hRule="atLeast"/>
        </w:trPr>
        <w:tc>
          <w:tcPr>
            <w:tcW w:w="420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9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9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  <w:t>большой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  <w:t>средний</w:t>
            </w:r>
          </w:p>
        </w:tc>
        <w:tc>
          <w:tcPr>
            <w:tcW w:w="432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  <w:t>малый</w:t>
            </w:r>
          </w:p>
        </w:tc>
        <w:tc>
          <w:tcPr>
            <w:tcW w:w="98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23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  <w:t>большой</w:t>
            </w:r>
          </w:p>
        </w:tc>
        <w:tc>
          <w:tcPr>
            <w:tcW w:w="424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  <w:t>средний</w:t>
            </w:r>
          </w:p>
        </w:tc>
        <w:tc>
          <w:tcPr>
            <w:tcW w:w="431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  <w:t>малый</w:t>
            </w:r>
          </w:p>
        </w:tc>
        <w:tc>
          <w:tcPr>
            <w:tcW w:w="42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  <w:t>большой</w:t>
            </w:r>
          </w:p>
        </w:tc>
        <w:tc>
          <w:tcPr>
            <w:tcW w:w="4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  <w:t>средний</w:t>
            </w:r>
          </w:p>
        </w:tc>
        <w:tc>
          <w:tcPr>
            <w:tcW w:w="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  <w:t>малый</w:t>
            </w:r>
          </w:p>
        </w:tc>
        <w:tc>
          <w:tcPr>
            <w:tcW w:w="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right w:w="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</w:r>
          </w:p>
        </w:tc>
      </w:tr>
      <w:tr>
        <w:trPr>
          <w:trHeight w:val="566" w:hRule="atLeast"/>
        </w:trPr>
        <w:tc>
          <w:tcPr>
            <w:tcW w:w="10346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" w:type="dxa"/>
              <w:right w:w="0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0" w:after="160"/>
              <w:contextualSpacing/>
              <w:jc w:val="center"/>
              <w:rPr>
                <w:rFonts w:ascii="Times New Roman" w:hAnsi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Мероприятие (мероприятия) в рамках лимита специального казначейского кредита</w:t>
            </w:r>
          </w:p>
        </w:tc>
      </w:tr>
      <w:tr>
        <w:trPr>
          <w:trHeight w:val="48" w:hRule="atLeast"/>
        </w:trPr>
        <w:tc>
          <w:tcPr>
            <w:tcW w:w="10346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Наименование мероприятия</w:t>
            </w:r>
          </w:p>
        </w:tc>
      </w:tr>
      <w:tr>
        <w:trPr>
          <w:trHeight w:val="566" w:hRule="atLeast"/>
        </w:trPr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2" wp14:anchorId="7E76821F">
                      <wp:simplePos x="0" y="0"/>
                      <wp:positionH relativeFrom="column">
                        <wp:posOffset>-452755</wp:posOffset>
                      </wp:positionH>
                      <wp:positionV relativeFrom="paragraph">
                        <wp:posOffset>3175</wp:posOffset>
                      </wp:positionV>
                      <wp:extent cx="2305050" cy="255270"/>
                      <wp:effectExtent l="0" t="0" r="3810" b="0"/>
                      <wp:wrapNone/>
                      <wp:docPr id="1" name="Надпись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4360" cy="254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34"/>
                                    <w:widowControl w:val="false"/>
                                    <w:spacing w:lineRule="auto" w:line="240" w:before="0" w:after="0"/>
                                    <w:rPr>
                                      <w:rFonts w:ascii="Times New Roman" w:hAnsi="Times New Roman" w:cs="Times New Roman"/>
                                      <w:bCs/>
                                      <w:i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Cs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заполняется по каждому маршруту</w:t>
                                  </w:r>
                                </w:p>
                                <w:p>
                                  <w:pPr>
                                    <w:pStyle w:val="Style34"/>
                                    <w:widowControl w:val="false"/>
                                    <w:spacing w:before="0" w:after="160"/>
                                    <w:rPr>
                                      <w:i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Надпись 2" path="m0,0l-2147483645,0l-2147483645,-2147483646l0,-2147483646xe" fillcolor="white" stroked="f" style="position:absolute;margin-left:-35.65pt;margin-top:0.25pt;width:181.4pt;height:20pt;mso-wrap-style:square;v-text-anchor:top" wp14:anchorId="7E76821F">
                      <v:fill o:detectmouseclick="t" type="solid" color2="black"/>
                      <v:stroke color="#3465a4" weight="9360" joinstyle="round" endcap="flat"/>
                      <v:textbox>
                        <w:txbxContent>
                          <w:p>
                            <w:pPr>
                              <w:pStyle w:val="Style34"/>
                              <w:widowControl w:val="false"/>
                              <w:spacing w:lineRule="auto" w:line="240" w:before="0" w:after="0"/>
                              <w:rPr>
                                <w:rFonts w:ascii="Times New Roman" w:hAnsi="Times New Roman" w:cs="Times New Roman"/>
                                <w:bCs/>
                                <w:i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заполняется по каждому маршруту</w:t>
                            </w:r>
                          </w:p>
                          <w:p>
                            <w:pPr>
                              <w:pStyle w:val="Style34"/>
                              <w:widowControl w:val="false"/>
                              <w:spacing w:before="0" w:after="160"/>
                              <w:rPr>
                                <w:i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right w:w="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</w:r>
          </w:p>
        </w:tc>
      </w:tr>
      <w:tr>
        <w:trPr>
          <w:trHeight w:val="566" w:hRule="atLeast"/>
        </w:trPr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 …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right w:w="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</w:r>
          </w:p>
        </w:tc>
      </w:tr>
      <w:tr>
        <w:trPr>
          <w:trHeight w:val="566" w:hRule="atLeast"/>
        </w:trPr>
        <w:tc>
          <w:tcPr>
            <w:tcW w:w="24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Всего по мероприятию, ед.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</w:r>
          </w:p>
        </w:tc>
        <w:tc>
          <w:tcPr>
            <w:tcW w:w="45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Всего по мероприятию, тыс. рублей</w:t>
            </w:r>
          </w:p>
        </w:tc>
        <w:tc>
          <w:tcPr>
            <w:tcW w:w="211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</w:r>
          </w:p>
        </w:tc>
      </w:tr>
      <w:tr>
        <w:trPr>
          <w:trHeight w:val="566" w:hRule="atLeast"/>
        </w:trPr>
        <w:tc>
          <w:tcPr>
            <w:tcW w:w="10346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" w:type="dxa"/>
              <w:right w:w="0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0" w:after="160"/>
              <w:contextualSpacing/>
              <w:jc w:val="center"/>
              <w:rPr>
                <w:rFonts w:ascii="Times New Roman" w:hAnsi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Мероприятие (мероприятия), общий объем финансирования которого (ых) превышает лимит специального казначейского кредита</w:t>
            </w:r>
          </w:p>
        </w:tc>
      </w:tr>
      <w:tr>
        <w:trPr>
          <w:trHeight w:val="65" w:hRule="atLeast"/>
        </w:trPr>
        <w:tc>
          <w:tcPr>
            <w:tcW w:w="10346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Наименование мероприятия</w:t>
            </w:r>
          </w:p>
        </w:tc>
      </w:tr>
      <w:tr>
        <w:trPr>
          <w:trHeight w:val="566" w:hRule="atLeast"/>
        </w:trPr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4" wp14:anchorId="54D537F2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19050</wp:posOffset>
                      </wp:positionV>
                      <wp:extent cx="2305050" cy="255270"/>
                      <wp:effectExtent l="0" t="0" r="3810" b="0"/>
                      <wp:wrapNone/>
                      <wp:docPr id="3" name="Надпись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4360" cy="254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34"/>
                                    <w:widowControl w:val="false"/>
                                    <w:spacing w:lineRule="auto" w:line="240" w:before="0" w:after="0"/>
                                    <w:rPr>
                                      <w:rFonts w:ascii="Times New Roman" w:hAnsi="Times New Roman" w:cs="Times New Roman"/>
                                      <w:bCs/>
                                      <w:i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Cs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заполняется по каждому маршруту</w:t>
                                  </w:r>
                                </w:p>
                                <w:p>
                                  <w:pPr>
                                    <w:pStyle w:val="Style34"/>
                                    <w:widowControl w:val="false"/>
                                    <w:spacing w:before="0" w:after="160"/>
                                    <w:rPr>
                                      <w:i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Надпись 2" path="m0,0l-2147483645,0l-2147483645,-2147483646l0,-2147483646xe" fillcolor="white" stroked="f" style="position:absolute;margin-left:12.25pt;margin-top:1.5pt;width:181.4pt;height:20pt;mso-wrap-style:square;v-text-anchor:top" wp14:anchorId="54D537F2">
                      <v:fill o:detectmouseclick="t" type="solid" color2="black"/>
                      <v:stroke color="#3465a4" weight="9360" joinstyle="round" endcap="flat"/>
                      <v:textbox>
                        <w:txbxContent>
                          <w:p>
                            <w:pPr>
                              <w:pStyle w:val="Style34"/>
                              <w:widowControl w:val="false"/>
                              <w:spacing w:lineRule="auto" w:line="240" w:before="0" w:after="0"/>
                              <w:rPr>
                                <w:rFonts w:ascii="Times New Roman" w:hAnsi="Times New Roman" w:cs="Times New Roman"/>
                                <w:bCs/>
                                <w:i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заполняется по каждому маршруту</w:t>
                            </w:r>
                          </w:p>
                          <w:p>
                            <w:pPr>
                              <w:pStyle w:val="Style34"/>
                              <w:widowControl w:val="false"/>
                              <w:spacing w:before="0" w:after="160"/>
                              <w:rPr>
                                <w:i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right w:w="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</w:r>
          </w:p>
        </w:tc>
      </w:tr>
      <w:tr>
        <w:trPr>
          <w:trHeight w:val="566" w:hRule="atLeast"/>
        </w:trPr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 …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right w:w="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</w:r>
          </w:p>
        </w:tc>
      </w:tr>
      <w:tr>
        <w:trPr>
          <w:trHeight w:val="566" w:hRule="atLeast"/>
        </w:trPr>
        <w:tc>
          <w:tcPr>
            <w:tcW w:w="24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Всего по мероприятию, ед.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</w:r>
          </w:p>
        </w:tc>
        <w:tc>
          <w:tcPr>
            <w:tcW w:w="45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Всего по мероприятию, тыс. рублей</w:t>
            </w:r>
          </w:p>
        </w:tc>
        <w:tc>
          <w:tcPr>
            <w:tcW w:w="211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0"/>
                <w:szCs w:val="20"/>
              </w:rPr>
            </w:r>
          </w:p>
        </w:tc>
      </w:tr>
      <w:tr>
        <w:trPr>
          <w:trHeight w:val="566" w:hRule="atLeast"/>
        </w:trPr>
        <w:tc>
          <w:tcPr>
            <w:tcW w:w="24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ИТОГО, ед.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r>
          </w:p>
        </w:tc>
        <w:tc>
          <w:tcPr>
            <w:tcW w:w="45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Times New Roman" w:hAnsi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ИТОГО, тыс. рублей</w:t>
            </w:r>
          </w:p>
        </w:tc>
        <w:tc>
          <w:tcPr>
            <w:tcW w:w="2116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8"/>
        </w:rPr>
      </w:r>
    </w:p>
    <w:p>
      <w:pPr>
        <w:pStyle w:val="Style33"/>
        <w:spacing w:before="12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__________________</w:t>
      </w:r>
    </w:p>
    <w:p>
      <w:pPr>
        <w:sectPr>
          <w:headerReference w:type="default" r:id="rId2"/>
          <w:type w:val="nextPage"/>
          <w:pgSz w:w="11906" w:h="16838"/>
          <w:pgMar w:left="1418" w:right="567" w:header="425" w:top="993" w:footer="0" w:bottom="851" w:gutter="0"/>
          <w:pgNumType w:start="1" w:fmt="decimal"/>
          <w:formProt w:val="false"/>
          <w:titlePg/>
          <w:textDirection w:val="lrTb"/>
          <w:docGrid w:type="default" w:linePitch="360" w:charSpace="32768"/>
        </w:sectPr>
        <w:pStyle w:val="Normal"/>
        <w:spacing w:before="0" w:after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vertAlign w:val="superscript"/>
        </w:rPr>
        <w:t>1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 </w:t>
      </w:r>
      <w:r>
        <w:rPr>
          <w:rFonts w:cs="Times New Roman" w:ascii="Times New Roman" w:hAnsi="Times New Roman"/>
          <w:color w:val="000000" w:themeColor="text1"/>
          <w:sz w:val="20"/>
          <w:szCs w:val="20"/>
        </w:rPr>
        <w:t xml:space="preserve">- Указанная информация также предоставляется в электронном виде (в формате </w:t>
      </w:r>
      <w:r>
        <w:rPr>
          <w:rFonts w:cs="Times New Roman" w:ascii="Times New Roman" w:hAnsi="Times New Roman"/>
          <w:color w:val="000000" w:themeColor="text1"/>
          <w:sz w:val="20"/>
          <w:szCs w:val="20"/>
          <w:lang w:val="en-US"/>
        </w:rPr>
        <w:t>excel</w:t>
      </w:r>
      <w:r>
        <w:rPr>
          <w:rFonts w:cs="Times New Roman" w:ascii="Times New Roman" w:hAnsi="Times New Roman"/>
          <w:color w:val="000000" w:themeColor="text1"/>
          <w:sz w:val="20"/>
          <w:szCs w:val="20"/>
        </w:rPr>
        <w:t>)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Таблица 2 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color w:val="000000" w:themeColor="text1"/>
          <w:sz w:val="24"/>
          <w:szCs w:val="24"/>
          <w:vertAlign w:val="superscript"/>
        </w:rPr>
      </w:pPr>
      <w:r>
        <w:rPr>
          <w:rFonts w:cs="Times New Roman" w:ascii="Times New Roman" w:hAnsi="Times New Roman"/>
          <w:b/>
          <w:bCs/>
          <w:color w:val="000000" w:themeColor="text1"/>
          <w:sz w:val="24"/>
          <w:szCs w:val="24"/>
        </w:rPr>
        <w:t>Перечень информации для проведения оценки мероприятий по приобретению подвижного состава пассажирского транспорта общего пользования (только для заявок, включающих мероприятия, общий объем финансирования которых превышает лимит специального казначейского кредита)</w:t>
      </w:r>
      <w:r>
        <w:rPr>
          <w:rFonts w:cs="Times New Roman" w:ascii="Times New Roman" w:hAnsi="Times New Roman"/>
          <w:b/>
          <w:bCs/>
          <w:color w:val="000000" w:themeColor="text1"/>
          <w:sz w:val="24"/>
          <w:szCs w:val="24"/>
          <w:vertAlign w:val="superscript"/>
        </w:rPr>
        <w:t>1</w:t>
      </w:r>
    </w:p>
    <w:p>
      <w:pPr>
        <w:pStyle w:val="Normal"/>
        <w:spacing w:before="0" w:after="0"/>
        <w:ind w:left="8496" w:hanging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tbl>
      <w:tblPr>
        <w:tblStyle w:val="afe"/>
        <w:tblW w:w="99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40"/>
        <w:gridCol w:w="3135"/>
        <w:gridCol w:w="6236"/>
      </w:tblGrid>
      <w:tr>
        <w:trPr/>
        <w:tc>
          <w:tcPr>
            <w:tcW w:w="5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31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Критерий</w:t>
            </w:r>
          </w:p>
        </w:tc>
        <w:tc>
          <w:tcPr>
            <w:tcW w:w="62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Необходимая информация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3135" w:type="dxa"/>
            <w:tcBorders/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Наличие утвержденных документов транспортного планирования</w:t>
            </w:r>
          </w:p>
        </w:tc>
        <w:tc>
          <w:tcPr>
            <w:tcW w:w="62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Пояснительная записка о статусе разработки и утверждения документов транспортного планирования.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Утвержденные документы транспортного планирования: комплексная схема организации дорожного движения (КСОДД), комплексная схема организации транспортного обслуживания населения общественным транспортом (КСОТ), программа комплексного развития транспортной инфраструктуры (ПКРТИ).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3135" w:type="dxa"/>
            <w:tcBorders/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Наличие мероприятий по приобретению подвижного состава пассажирского транспорта общего пользования в рамках мер региональной и (или) муниципальной поддержки, включенных в региональные программы</w:t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62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Паспорт региональной программы или иной документ, подтверждающий наличие мероприятий по приобретению подвижного состава пассажирского транспорта общего пользования в рамках мер региональной и (или) муниципальной поддержки за последние 3 года и плановый период до 2025 года.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3135" w:type="dxa"/>
            <w:tcBorders/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Коэффициент покрытия билетной выручкой затрат связанных с осуществлением пассажирских перевозок по маршрутам</w:t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62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Расчет коэффициента покрытия билетной выручкой затрат, связанных с осуществлением пассажирских перевозок по маршрутам, с приложением подтверждающих документов и материалов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3135" w:type="dxa"/>
            <w:tcBorders/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Наличие безналичной системы оплаты проезда</w:t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62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Документ, подтверждающий наличие безналичной системы оплаты проезда на маршрутах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3135" w:type="dxa"/>
            <w:tcBorders/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Поставка транспортных средств на маршруты, обеспечивающие транспортное сообщение с сельскими населенными пунктами</w:t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62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Описание маршрута с указанием обслуживаемых населенных пунктов</w:t>
            </w:r>
          </w:p>
        </w:tc>
      </w:tr>
    </w:tbl>
    <w:p>
      <w:pPr>
        <w:pStyle w:val="Style33"/>
        <w:spacing w:before="12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Style33"/>
        <w:spacing w:before="12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Style33"/>
        <w:spacing w:before="12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Style33"/>
        <w:spacing w:before="120" w:after="0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vertAlign w:val="superscript"/>
        </w:rPr>
        <w:t>1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 - </w:t>
      </w:r>
      <w:r>
        <w:rPr>
          <w:rFonts w:cs="Times New Roman" w:ascii="Times New Roman" w:hAnsi="Times New Roman"/>
          <w:color w:val="000000" w:themeColor="text1"/>
          <w:sz w:val="20"/>
          <w:szCs w:val="20"/>
        </w:rPr>
        <w:t xml:space="preserve">Указанная информация также предоставляется в электронном виде (в формате </w:t>
      </w:r>
      <w:r>
        <w:rPr>
          <w:rFonts w:cs="Times New Roman" w:ascii="Times New Roman" w:hAnsi="Times New Roman"/>
          <w:color w:val="000000" w:themeColor="text1"/>
          <w:sz w:val="20"/>
          <w:szCs w:val="20"/>
          <w:lang w:val="en-US"/>
        </w:rPr>
        <w:t>word</w:t>
      </w:r>
      <w:r>
        <w:rPr>
          <w:rFonts w:cs="Times New Roman" w:ascii="Times New Roman" w:hAnsi="Times New Roman"/>
          <w:color w:val="000000" w:themeColor="text1"/>
          <w:sz w:val="20"/>
          <w:szCs w:val="20"/>
        </w:rPr>
        <w:t>)</w:t>
      </w:r>
    </w:p>
    <w:sectPr>
      <w:headerReference w:type="default" r:id="rId3"/>
      <w:type w:val="nextPage"/>
      <w:pgSz w:w="11906" w:h="16838"/>
      <w:pgMar w:left="1418" w:right="567" w:header="425" w:top="993" w:footer="0" w:bottom="851" w:gutter="0"/>
      <w:pgNumType w:start="1" w:fmt="decimal"/>
      <w:formProt w:val="false"/>
      <w:titlePg/>
      <w:textDirection w:val="lrTb"/>
      <w:docGrid w:type="default" w:linePitch="36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Segoe UI">
    <w:charset w:val="01"/>
    <w:family w:val="swiss"/>
    <w:pitch w:val="default"/>
  </w:font>
  <w:font w:name="Times New Roman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Arial">
    <w:charset w:val="01"/>
    <w:family w:val="swiss"/>
    <w:pitch w:val="default"/>
  </w:font>
  <w:font w:name="Courier New">
    <w:charset w:val="01"/>
    <w:family w:val="swiss"/>
    <w:pitch w:val="default"/>
  </w:font>
  <w:font w:name="Tahoma">
    <w:charset w:val="01"/>
    <w:family w:val="swiss"/>
    <w:pitch w:val="default"/>
  </w:font>
  <w:font w:name="Symbol">
    <w:charset w:val="02"/>
    <w:family w:val="auto"/>
    <w:pitch w:val="default"/>
  </w:font>
  <w:font w:name="Courier New">
    <w:charset w:val="01"/>
    <w:family w:val="auto"/>
    <w:pitch w:val="fixed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1"/>
      <w:jc w:val="center"/>
      <w:rPr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fldChar w:fldCharType="begin"/>
    </w:r>
    <w:r>
      <w:rPr>
        <w:sz w:val="24"/>
        <w:szCs w:val="24"/>
        <w:rFonts w:cs="Times New Roman" w:ascii="Times New Roman" w:hAnsi="Times New Roman"/>
      </w:rPr>
      <w:instrText> PAGE </w:instrText>
    </w:r>
    <w:r>
      <w:rPr>
        <w:sz w:val="24"/>
        <w:szCs w:val="24"/>
        <w:rFonts w:cs="Times New Roman" w:ascii="Times New Roman" w:hAnsi="Times New Roman"/>
      </w:rPr>
      <w:fldChar w:fldCharType="separate"/>
    </w:r>
    <w:r>
      <w:rPr>
        <w:sz w:val="24"/>
        <w:szCs w:val="24"/>
        <w:rFonts w:cs="Times New Roman" w:ascii="Times New Roman" w:hAnsi="Times New Roman"/>
      </w:rPr>
      <w:t>3</w:t>
    </w:r>
    <w:r>
      <w:rPr>
        <w:sz w:val="24"/>
        <w:szCs w:val="24"/>
        <w:rFonts w:cs="Times New Roman"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1"/>
      <w:jc w:val="center"/>
      <w:rPr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fldChar w:fldCharType="begin"/>
    </w:r>
    <w:r>
      <w:rPr>
        <w:sz w:val="24"/>
        <w:szCs w:val="24"/>
        <w:rFonts w:cs="Times New Roman" w:ascii="Times New Roman" w:hAnsi="Times New Roman"/>
      </w:rPr>
      <w:instrText> PAGE </w:instrText>
    </w:r>
    <w:r>
      <w:rPr>
        <w:sz w:val="24"/>
        <w:szCs w:val="24"/>
        <w:rFonts w:cs="Times New Roman" w:ascii="Times New Roman" w:hAnsi="Times New Roman"/>
      </w:rPr>
      <w:fldChar w:fldCharType="separate"/>
    </w:r>
    <w:r>
      <w:rPr>
        <w:sz w:val="24"/>
        <w:szCs w:val="24"/>
        <w:rFonts w:cs="Times New Roman" w:ascii="Times New Roman" w:hAnsi="Times New Roman"/>
      </w:rPr>
      <w:t>2</w:t>
    </w:r>
    <w:r>
      <w:rPr>
        <w:sz w:val="24"/>
        <w:szCs w:val="24"/>
        <w:rFonts w:cs="Times New Roman"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357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SimSun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SimSun" w:cs="SimSun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qFormat/>
    <w:rPr>
      <w:rFonts w:ascii="Segoe UI" w:hAnsi="Segoe UI" w:eastAsia="SimSun" w:cs="Segoe UI"/>
      <w:sz w:val="18"/>
      <w:szCs w:val="18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Pr>
      <w:rFonts w:eastAsia="SimSun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Pr>
      <w:rFonts w:eastAsia="SimSun"/>
      <w:lang w:eastAsia="ru-RU"/>
    </w:rPr>
  </w:style>
  <w:style w:type="character" w:styleId="Annotationreference">
    <w:name w:val="annotation reference"/>
    <w:basedOn w:val="DefaultParagraphFont"/>
    <w:uiPriority w:val="99"/>
    <w:qFormat/>
    <w:rPr>
      <w:sz w:val="16"/>
      <w:szCs w:val="16"/>
    </w:rPr>
  </w:style>
  <w:style w:type="character" w:styleId="Style17" w:customStyle="1">
    <w:name w:val="Текст примечания Знак"/>
    <w:basedOn w:val="DefaultParagraphFont"/>
    <w:uiPriority w:val="99"/>
    <w:qFormat/>
    <w:rPr>
      <w:rFonts w:eastAsia="SimSun"/>
      <w:sz w:val="20"/>
      <w:szCs w:val="20"/>
      <w:lang w:eastAsia="ru-RU"/>
    </w:rPr>
  </w:style>
  <w:style w:type="character" w:styleId="Style18" w:customStyle="1">
    <w:name w:val="Тема примечания Знак"/>
    <w:basedOn w:val="Style17"/>
    <w:uiPriority w:val="99"/>
    <w:qFormat/>
    <w:rPr>
      <w:rFonts w:eastAsia="SimSun"/>
      <w:b/>
      <w:bCs/>
      <w:sz w:val="20"/>
      <w:szCs w:val="20"/>
      <w:lang w:eastAsia="ru-RU"/>
    </w:rPr>
  </w:style>
  <w:style w:type="character" w:styleId="Style19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uiPriority w:val="99"/>
    <w:semiHidden/>
    <w:unhideWhenUsed/>
    <w:qFormat/>
    <w:rsid w:val="00b51590"/>
    <w:rPr>
      <w:vertAlign w:val="superscript"/>
    </w:rPr>
  </w:style>
  <w:style w:type="character" w:styleId="Style20" w:customStyle="1">
    <w:name w:val="Текст сноски Знак"/>
    <w:basedOn w:val="DefaultParagraphFont"/>
    <w:uiPriority w:val="99"/>
    <w:semiHidden/>
    <w:qFormat/>
    <w:rsid w:val="000709d2"/>
    <w:rPr>
      <w:rFonts w:eastAsia="SimSun"/>
      <w:sz w:val="20"/>
      <w:szCs w:val="20"/>
      <w:lang w:eastAsia="ru-RU"/>
    </w:rPr>
  </w:style>
  <w:style w:type="character" w:styleId="Style21" w:customStyle="1">
    <w:name w:val="Основной текст Знак"/>
    <w:basedOn w:val="DefaultParagraphFont"/>
    <w:uiPriority w:val="1"/>
    <w:qFormat/>
    <w:rsid w:val="00cd6036"/>
    <w:rPr>
      <w:rFonts w:ascii="Times New Roman" w:hAnsi="Times New Roman" w:eastAsia="Times New Roman" w:cs="Times New Roman"/>
      <w:sz w:val="28"/>
      <w:szCs w:val="28"/>
    </w:rPr>
  </w:style>
  <w:style w:type="character" w:styleId="Style22">
    <w:name w:val="Интернет-ссылка"/>
    <w:basedOn w:val="DefaultParagraphFont"/>
    <w:uiPriority w:val="99"/>
    <w:unhideWhenUsed/>
    <w:rsid w:val="009c2f21"/>
    <w:rPr>
      <w:color w:val="0000FF" w:themeColor="hyperlink"/>
      <w:u w:val="single"/>
    </w:rPr>
  </w:style>
  <w:style w:type="character" w:styleId="Style23" w:customStyle="1">
    <w:name w:val="Нумерация строк"/>
    <w:rPr/>
  </w:style>
  <w:style w:type="character" w:styleId="FontStyle51" w:customStyle="1">
    <w:name w:val="Font Style51"/>
    <w:uiPriority w:val="99"/>
    <w:qFormat/>
    <w:rsid w:val="005744f8"/>
    <w:rPr>
      <w:rFonts w:ascii="Times New Roman" w:hAnsi="Times New Roman" w:cs="Times New Roman"/>
      <w:sz w:val="26"/>
      <w:szCs w:val="26"/>
    </w:rPr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25">
    <w:name w:val="Body Text"/>
    <w:basedOn w:val="Normal"/>
    <w:uiPriority w:val="1"/>
    <w:qFormat/>
    <w:rsid w:val="00cd6036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8"/>
      <w:szCs w:val="28"/>
      <w:lang w:eastAsia="en-US"/>
    </w:rPr>
  </w:style>
  <w:style w:type="paragraph" w:styleId="Style26">
    <w:name w:val="List"/>
    <w:basedOn w:val="Style25"/>
    <w:pPr/>
    <w:rPr>
      <w:rFonts w:ascii="Calibri" w:hAnsi="Calibri" w:cs="Droid Sans Devanagari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ascii="Calibri" w:hAnsi="Calibri" w:cs="Droid Sans Devanagari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ascii="Calibri" w:hAnsi="Calibri" w:cs="Droid Sans Devanagari"/>
    </w:rPr>
  </w:style>
  <w:style w:type="paragraph" w:styleId="Style29">
    <w:name w:val="Title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Droid Sans Devanagari"/>
    </w:rPr>
  </w:style>
  <w:style w:type="paragraph" w:styleId="1" w:customStyle="1">
    <w:name w:val="Заголовок1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ind w:left="-567" w:right="-284" w:hanging="0"/>
      <w:jc w:val="left"/>
    </w:pPr>
    <w:rPr>
      <w:rFonts w:ascii="Calibri" w:hAnsi="Calibri" w:eastAsia="Calibri" w:cs="SimSun"/>
      <w:color w:val="auto"/>
      <w:kern w:val="0"/>
      <w:sz w:val="22"/>
      <w:szCs w:val="22"/>
      <w:lang w:val="ru-RU" w:eastAsia="en-US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val="ru-RU" w:eastAsia="ru-RU" w:bidi="ar-SA"/>
    </w:rPr>
  </w:style>
  <w:style w:type="paragraph" w:styleId="ConsPlusTitle" w:customStyle="1">
    <w:name w:val="ConsPlusTitle"/>
    <w:uiPriority w:val="99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SimSun" w:cs="Arial"/>
      <w:b/>
      <w:bCs/>
      <w:color w:val="auto"/>
      <w:kern w:val="0"/>
      <w:sz w:val="24"/>
      <w:szCs w:val="24"/>
      <w:lang w:val="ru-RU" w:eastAsia="ru-RU" w:bidi="ar-SA"/>
    </w:rPr>
  </w:style>
  <w:style w:type="paragraph" w:styleId="BalloonText">
    <w:name w:val="Balloon Text"/>
    <w:basedOn w:val="Normal"/>
    <w:uiPriority w:val="99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nformat" w:customStyle="1">
    <w:name w:val="ConsPlusNonformat"/>
    <w:uiPriority w:val="99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SimSun" w:cs="Courier New"/>
      <w:color w:val="auto"/>
      <w:kern w:val="0"/>
      <w:sz w:val="20"/>
      <w:szCs w:val="20"/>
      <w:lang w:val="ru-RU" w:eastAsia="ru-RU" w:bidi="ar-SA"/>
    </w:rPr>
  </w:style>
  <w:style w:type="paragraph" w:styleId="Style30" w:customStyle="1">
    <w:name w:val="Колонтитул"/>
    <w:basedOn w:val="Normal"/>
    <w:qFormat/>
    <w:pPr/>
    <w:rPr/>
  </w:style>
  <w:style w:type="paragraph" w:styleId="Style31">
    <w:name w:val="Header"/>
    <w:basedOn w:val="Normal"/>
    <w:uiPriority w:val="9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2">
    <w:name w:val="Footer"/>
    <w:basedOn w:val="Normal"/>
    <w:uiPriority w:val="9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uiPriority w:val="99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uiPriority w:val="99"/>
    <w:qFormat/>
    <w:pPr/>
    <w:rPr>
      <w:b/>
      <w:bCs/>
    </w:rPr>
  </w:style>
  <w:style w:type="paragraph" w:styleId="Style33">
    <w:name w:val="Footnote Text"/>
    <w:basedOn w:val="Normal"/>
    <w:uiPriority w:val="99"/>
    <w:semiHidden/>
    <w:unhideWhenUsed/>
    <w:rsid w:val="000709d2"/>
    <w:pPr>
      <w:spacing w:lineRule="auto" w:line="240" w:before="0" w:after="0"/>
    </w:pPr>
    <w:rPr>
      <w:sz w:val="20"/>
      <w:szCs w:val="20"/>
    </w:rPr>
  </w:style>
  <w:style w:type="paragraph" w:styleId="ConsPlusCell" w:customStyle="1">
    <w:name w:val="ConsPlusCell"/>
    <w:uiPriority w:val="99"/>
    <w:qFormat/>
    <w:rsid w:val="00b74ac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DocList" w:customStyle="1">
    <w:name w:val="ConsPlusDocList"/>
    <w:uiPriority w:val="99"/>
    <w:qFormat/>
    <w:rsid w:val="00b74ac6"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0"/>
      <w:sz w:val="18"/>
      <w:szCs w:val="18"/>
      <w:lang w:val="ru-RU" w:eastAsia="ru-RU" w:bidi="ar-SA"/>
    </w:rPr>
  </w:style>
  <w:style w:type="paragraph" w:styleId="ConsPlusTitlePage" w:customStyle="1">
    <w:name w:val="ConsPlusTitlePage"/>
    <w:uiPriority w:val="99"/>
    <w:qFormat/>
    <w:rsid w:val="00b74ac6"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0"/>
      <w:sz w:val="24"/>
      <w:szCs w:val="24"/>
      <w:lang w:val="ru-RU" w:eastAsia="ru-RU" w:bidi="ar-SA"/>
    </w:rPr>
  </w:style>
  <w:style w:type="paragraph" w:styleId="ConsPlusJurTerm" w:customStyle="1">
    <w:name w:val="ConsPlusJurTerm"/>
    <w:uiPriority w:val="99"/>
    <w:qFormat/>
    <w:rsid w:val="00b74ac6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TextList" w:customStyle="1">
    <w:name w:val="ConsPlusTextList"/>
    <w:uiPriority w:val="99"/>
    <w:qFormat/>
    <w:rsid w:val="00b74ac6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TextList1" w:customStyle="1">
    <w:name w:val="ConsPlusTextList1"/>
    <w:uiPriority w:val="99"/>
    <w:qFormat/>
    <w:rsid w:val="00b74ac6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b74ac6"/>
    <w:pPr>
      <w:spacing w:before="0" w:after="160"/>
      <w:ind w:left="720" w:hanging="0"/>
      <w:contextualSpacing/>
    </w:pPr>
    <w:rPr>
      <w:rFonts w:eastAsia="Times New Roman" w:cs="Times New Roman"/>
    </w:rPr>
  </w:style>
  <w:style w:type="paragraph" w:styleId="S1" w:customStyle="1">
    <w:name w:val="s_1"/>
    <w:basedOn w:val="Normal"/>
    <w:qFormat/>
    <w:rsid w:val="00cd542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22" w:customStyle="1">
    <w:name w:val="s_22"/>
    <w:basedOn w:val="Normal"/>
    <w:qFormat/>
    <w:rsid w:val="00cd542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cd542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Revision">
    <w:name w:val="Revision"/>
    <w:uiPriority w:val="99"/>
    <w:semiHidden/>
    <w:qFormat/>
    <w:rsid w:val="00aa2583"/>
    <w:pPr>
      <w:widowControl/>
      <w:suppressAutoHyphens w:val="true"/>
      <w:bidi w:val="0"/>
      <w:spacing w:before="0" w:after="0"/>
      <w:jc w:val="left"/>
    </w:pPr>
    <w:rPr>
      <w:rFonts w:ascii="Calibri" w:hAnsi="Calibri" w:eastAsia="SimSun" w:cs="SimSun"/>
      <w:color w:val="auto"/>
      <w:kern w:val="0"/>
      <w:sz w:val="22"/>
      <w:szCs w:val="22"/>
      <w:lang w:val="ru-RU" w:eastAsia="ru-RU" w:bidi="ar-SA"/>
    </w:rPr>
  </w:style>
  <w:style w:type="paragraph" w:styleId="Style34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39"/>
    <w:rsid w:val="005e568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<Relationship Id="rId11" Type="http://schemas.openxmlformats.org/officeDocument/2006/relationships/customXml" Target="../customXml/item4.xml"/><Relationship Id="rId12" Type="http://schemas.openxmlformats.org/officeDocument/2006/relationships/customXml" Target="../customXml/item5.xml"/><Relationship Id="rId13" Type="http://schemas.openxmlformats.org/officeDocument/2006/relationships/customXml" Target="../customXml/item6.xml"/><Relationship Id="rId14" Type="http://schemas.openxmlformats.org/officeDocument/2006/relationships/customXml" Target="../customXml/item7.xml"/><Relationship Id="rId15" Type="http://schemas.openxmlformats.org/officeDocument/2006/relationships/customXml" Target="../customXml/item8.xml"/><Relationship Id="rId16" Type="http://schemas.openxmlformats.org/officeDocument/2006/relationships/customXml" Target="../customXml/item9.xml"/><Relationship Id="rId17" Type="http://schemas.openxmlformats.org/officeDocument/2006/relationships/customXml" Target="../customXml/item10.xml"/><Relationship Id="rId18" Type="http://schemas.openxmlformats.org/officeDocument/2006/relationships/customXml" Target="../customXml/item11.xml"/><Relationship Id="rId19" Type="http://schemas.openxmlformats.org/officeDocument/2006/relationships/customXml" Target="../customXml/item12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10.xml.rels><?xml version="1.0" encoding="UTF-8"?>
<Relationships xmlns="http://schemas.openxmlformats.org/package/2006/relationships"><Relationship Id="rId1" Type="http://schemas.openxmlformats.org/officeDocument/2006/relationships/customXmlProps" Target="itemProps10.xml"/>
</Relationships>
</file>

<file path=customXml/_rels/item11.xml.rels><?xml version="1.0" encoding="UTF-8"?>
<Relationships xmlns="http://schemas.openxmlformats.org/package/2006/relationships"><Relationship Id="rId1" Type="http://schemas.openxmlformats.org/officeDocument/2006/relationships/customXmlProps" Target="itemProps11.xml"/>
</Relationships>
</file>

<file path=customXml/_rels/item12.xml.rels><?xml version="1.0" encoding="UTF-8"?>
<Relationships xmlns="http://schemas.openxmlformats.org/package/2006/relationships"><Relationship Id="rId1" Type="http://schemas.openxmlformats.org/officeDocument/2006/relationships/customXmlProps" Target="itemProps12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_rels/item5.xml.rels><?xml version="1.0" encoding="UTF-8"?>
<Relationships xmlns="http://schemas.openxmlformats.org/package/2006/relationships"><Relationship Id="rId1" Type="http://schemas.openxmlformats.org/officeDocument/2006/relationships/customXmlProps" Target="itemProps5.xml"/>
</Relationships>
</file>

<file path=customXml/_rels/item6.xml.rels><?xml version="1.0" encoding="UTF-8"?>
<Relationships xmlns="http://schemas.openxmlformats.org/package/2006/relationships"><Relationship Id="rId1" Type="http://schemas.openxmlformats.org/officeDocument/2006/relationships/customXmlProps" Target="itemProps6.xml"/>
</Relationships>
</file>

<file path=customXml/_rels/item7.xml.rels><?xml version="1.0" encoding="UTF-8"?>
<Relationships xmlns="http://schemas.openxmlformats.org/package/2006/relationships"><Relationship Id="rId1" Type="http://schemas.openxmlformats.org/officeDocument/2006/relationships/customXmlProps" Target="itemProps7.xml"/>
</Relationships>
</file>

<file path=customXml/_rels/item8.xml.rels><?xml version="1.0" encoding="UTF-8"?>
<Relationships xmlns="http://schemas.openxmlformats.org/package/2006/relationships"><Relationship Id="rId1" Type="http://schemas.openxmlformats.org/officeDocument/2006/relationships/customXmlProps" Target="itemProps8.xml"/>
</Relationships>
</file>

<file path=customXml/_rels/item9.xml.rels><?xml version="1.0" encoding="UTF-8"?>
<Relationships xmlns="http://schemas.openxmlformats.org/package/2006/relationships"><Relationship Id="rId1" Type="http://schemas.openxmlformats.org/officeDocument/2006/relationships/customXmlProps" Target="itemProps9.xml"/>
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0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7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8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9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2D8E6BA5-56E4-4F7C-AB21-1C4A2890F69B}">
  <ds:schemaRefs>
    <ds:schemaRef ds:uri="http://www.wps.cn/android/officeDocument/2013/mofficeCustomData"/>
  </ds:schemaRefs>
</ds:datastoreItem>
</file>

<file path=customXml/itemProps10.xml><?xml version="1.0" encoding="utf-8"?>
<ds:datastoreItem xmlns:ds="http://schemas.openxmlformats.org/officeDocument/2006/customXml" ds:itemID="{564915F5-7254-4819-BE82-2508FAED50D5}">
  <ds:schemaRefs>
    <ds:schemaRef ds:uri="http://www.wps.cn/android/officeDocument/2013/mofficeCustomData"/>
  </ds:schemaRefs>
</ds:datastoreItem>
</file>

<file path=customXml/itemProps11.xml><?xml version="1.0" encoding="utf-8"?>
<ds:datastoreItem xmlns:ds="http://schemas.openxmlformats.org/officeDocument/2006/customXml" ds:itemID="{9E7E7969-9C12-414A-9633-A5E46764DA34}">
  <ds:schemaRefs>
    <ds:schemaRef ds:uri="http://www.wps.cn/android/officeDocument/2013/mofficeCustomData"/>
  </ds:schemaRefs>
</ds:datastoreItem>
</file>

<file path=customXml/itemProps12.xml><?xml version="1.0" encoding="utf-8"?>
<ds:datastoreItem xmlns:ds="http://schemas.openxmlformats.org/officeDocument/2006/customXml" ds:itemID="{D9D1F1A5-7B47-4C8A-98D9-5E9C5BA8A6C7}">
  <ds:schemaRefs>
    <ds:schemaRef ds:uri="http://www.wps.cn/android/officeDocument/2013/mofficeCustomData"/>
  </ds:schemaRefs>
</ds:datastoreItem>
</file>

<file path=customXml/itemProps2.xml><?xml version="1.0" encoding="utf-8"?>
<ds:datastoreItem xmlns:ds="http://schemas.openxmlformats.org/officeDocument/2006/customXml" ds:itemID="{048E271C-620B-425B-A245-3CEE0D9FB351}">
  <ds:schemaRefs>
    <ds:schemaRef ds:uri="http://www.wps.cn/android/officeDocument/2013/mofficeCustomData"/>
  </ds:schemaRefs>
</ds:datastoreItem>
</file>

<file path=customXml/itemProps3.xml><?xml version="1.0" encoding="utf-8"?>
<ds:datastoreItem xmlns:ds="http://schemas.openxmlformats.org/officeDocument/2006/customXml" ds:itemID="{BB095855-62F9-4F19-B25D-CA95AE8AB684}">
  <ds:schemaRefs>
    <ds:schemaRef ds:uri="http://www.wps.cn/android/officeDocument/2013/mofficeCustomData"/>
  </ds:schemaRefs>
</ds:datastoreItem>
</file>

<file path=customXml/itemProps4.xml><?xml version="1.0" encoding="utf-8"?>
<ds:datastoreItem xmlns:ds="http://schemas.openxmlformats.org/officeDocument/2006/customXml" ds:itemID="{C42060A7-2041-4082-A8DD-7F85AE8011C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9D9C430-8921-41BC-A97D-26417CC03666}">
  <ds:schemaRefs>
    <ds:schemaRef ds:uri="http://www.wps.cn/android/officeDocument/2013/mofficeCustomData"/>
  </ds:schemaRefs>
</ds:datastoreItem>
</file>

<file path=customXml/itemProps6.xml><?xml version="1.0" encoding="utf-8"?>
<ds:datastoreItem xmlns:ds="http://schemas.openxmlformats.org/officeDocument/2006/customXml" ds:itemID="{5D89CFE4-B436-47A1-ADC6-ED6D918D94B7}">
  <ds:schemaRefs>
    <ds:schemaRef ds:uri="http://www.wps.cn/android/officeDocument/2013/mofficeCustomData"/>
  </ds:schemaRefs>
</ds:datastoreItem>
</file>

<file path=customXml/itemProps7.xml><?xml version="1.0" encoding="utf-8"?>
<ds:datastoreItem xmlns:ds="http://schemas.openxmlformats.org/officeDocument/2006/customXml" ds:itemID="{47258229-223C-4B36-A59C-4B226FD9AF81}">
  <ds:schemaRefs>
    <ds:schemaRef ds:uri="http://www.wps.cn/android/officeDocument/2013/mofficeCustomData"/>
  </ds:schemaRefs>
</ds:datastoreItem>
</file>

<file path=customXml/itemProps8.xml><?xml version="1.0" encoding="utf-8"?>
<ds:datastoreItem xmlns:ds="http://schemas.openxmlformats.org/officeDocument/2006/customXml" ds:itemID="{E2B58EF2-2246-4E81-A4D9-2B982C05479E}">
  <ds:schemaRefs>
    <ds:schemaRef ds:uri="http://www.wps.cn/android/officeDocument/2013/mofficeCustomData"/>
  </ds:schemaRefs>
</ds:datastoreItem>
</file>

<file path=customXml/itemProps9.xml><?xml version="1.0" encoding="utf-8"?>
<ds:datastoreItem xmlns:ds="http://schemas.openxmlformats.org/officeDocument/2006/customXml" ds:itemID="{D200F250-7311-41C5-8177-26CBF906B5F0}">
  <ds:schemaRefs>
    <ds:schemaRef ds:uri="http://www.wps.cn/android/officeDocument/2013/moffice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LibreOffice/7.1.7.2$Linux_X86_64 LibreOffice_project/c6a4e3954236145e2acb0b65f68614365aeee33f</Application>
  <AppVersion>15.0000</AppVersion>
  <Pages>5</Pages>
  <Words>826</Words>
  <Characters>6392</Characters>
  <CharactersWithSpaces>7106</CharactersWithSpaces>
  <Paragraphs>117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2023-05-04T18:09:00Z</dcterms:created>
  <dc:creator>Ali Yandiev</dc:creator>
  <dc:description/>
  <dc:language>ru-RU</dc:language>
  <cp:lastModifiedBy/>
  <cp:lastPrinted>2023-03-01T08:36:00Z</cp:lastPrinted>
  <dcterms:modified xsi:type="dcterms:W3CDTF">2023-05-10T11:35:52Z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34472ac47aa94eedb8645df34165b192</vt:lpwstr>
  </property>
</Properties>
</file>