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irstParagraph1"/>
        <w:spacing w:before="0" w:after="0"/>
        <w:ind w:left="4820" w:hanging="0"/>
        <w:jc w:val="center"/>
        <w:rPr/>
      </w:pPr>
      <w:r>
        <w:rPr>
          <w:rFonts w:ascii="Times New Roman" w:hAnsi="Times New Roman"/>
          <w:sz w:val="28"/>
        </w:rPr>
        <w:t>УТВЕРЖДЕН</w:t>
      </w:r>
    </w:p>
    <w:p>
      <w:pPr>
        <w:pStyle w:val="Style19"/>
        <w:spacing w:before="0" w:after="0"/>
        <w:ind w:left="4820" w:hanging="0"/>
        <w:jc w:val="center"/>
        <w:rPr/>
      </w:pPr>
      <w:r>
        <w:rPr>
          <w:rFonts w:ascii="Times New Roman" w:hAnsi="Times New Roman"/>
          <w:sz w:val="28"/>
        </w:rPr>
        <w:t>коллегией Министерства транспорта Российской Федерации</w:t>
      </w:r>
    </w:p>
    <w:p>
      <w:pPr>
        <w:pStyle w:val="Style19"/>
        <w:spacing w:before="0" w:after="0"/>
        <w:ind w:left="4820" w:hanging="0"/>
        <w:jc w:val="center"/>
        <w:rPr/>
      </w:pPr>
      <w:r>
        <w:rPr>
          <w:rFonts w:ascii="Times New Roman" w:hAnsi="Times New Roman"/>
          <w:sz w:val="28"/>
        </w:rPr>
        <w:t>(постановление от 01.07.2022 № 1)</w:t>
      </w:r>
    </w:p>
    <w:p>
      <w:pPr>
        <w:pStyle w:val="Style19"/>
        <w:spacing w:before="0" w:after="0"/>
        <w:ind w:left="-56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spacing w:before="0" w:after="0"/>
        <w:ind w:left="-567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ДОКЛАД ОБ АНТИМОНОПОЛЬНОМ КОМПЛАЕНСЕ </w:t>
      </w:r>
    </w:p>
    <w:p>
      <w:pPr>
        <w:pStyle w:val="Style19"/>
        <w:spacing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В МИНИСТЕРСТВЕ ТРАНСПОРТА РОССИЙСКОЙ ФЕДЕРАЦИИ </w:t>
      </w:r>
    </w:p>
    <w:p>
      <w:pPr>
        <w:pStyle w:val="Style19"/>
        <w:spacing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ЗА 2021 ГОД </w:t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spacing w:before="0" w:after="0"/>
        <w:ind w:left="-567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Style19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0"/>
        <w:ind w:left="0" w:hanging="0"/>
        <w:jc w:val="center"/>
        <w:rPr/>
      </w:pPr>
      <w:r>
        <w:rPr>
          <w:rFonts w:ascii="Times New Roman" w:hAnsi="Times New Roman"/>
          <w:sz w:val="28"/>
        </w:rPr>
        <w:t>Общие положения.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sz w:val="28"/>
        </w:rPr>
        <w:t>Указом Президента Российской Федерации от 21.12.2017 № 618 «Об основных направлениях государственной политики по развитию конкуренции» Правительству Российской Федерации поручено принять меры, направленные на создание               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распоряжением Правительства Российской Федерации</w:t>
        <w:br/>
        <w:t>от 16.08.2018 № 1697-р об утверждении Плана мероприятий («дорожной карты»)</w:t>
        <w:br/>
        <w:t>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       в состояние конкурентного рынка на 2018 - 2020 годы (далее – план), руководителям федеральных органов исполнительной власти, ответственным за реализацию плана, надлежало по согласованию с ФАС России до 01.12.2018 принять правовые акты</w:t>
        <w:br/>
        <w:t>об организации системы внутреннего обеспечения соответствия требованиям антимонопольного законодательства, а также обеспечить принятие указанной системы подведомственными организациями.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Распоряжением Правительства Российской Федерации от 18.10.2018 № 2258-р 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(далее – антимонопольный комплаенс). 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Приказом Минтранса России от 30.11.2018 № 426 утверждено Положение         об организации системы внутреннего обеспечения соответствия требованиям антимонопольного законодательства в Министерстве транспорта Российской Федерации (далее – Положение об антимонопольном комплаенсе), согласованное письмом ФАС России от 30.11.2018 № СП/98220/18.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распоряжением Правительства Российской Федерации             от 18.10.2018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функции коллегиального органа, осуществляющего оценку эффективности организации          и функционирования антимонопольного комплаенса возлагаются на коллегию Министерства транспорта Российской Федерации.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Функции уполномоченного подразделения по ведению и контролю                     за исполнением в Минтрансе России системы внутреннего обеспечения соответствия требованиям антимонопольного законодательства (антимонопольного комплаенса), возложены на Департамент правового обеспечения и законопроектной деятельности Министерства транспорта Российской Федерации.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Структурными подразделениями Минтранса России осуществлен комплекс мероприятий, предусмотренных Положением об антимонопольном комплаенсе, направленных на выявление рисков нарушения антимонопольного законодательства (комплаенс-риски), а именно: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 xml:space="preserve">анализ выявленных нарушений антимонопольного законодательства                    в деятельности </w:t>
      </w:r>
      <w:r>
        <w:rPr>
          <w:rFonts w:ascii="Times New Roman" w:hAnsi="Times New Roman"/>
          <w:color w:val="auto"/>
          <w:sz w:val="28"/>
        </w:rPr>
        <w:t xml:space="preserve">Министерства за предыдущий отчетный год </w:t>
      </w:r>
      <w:r>
        <w:rPr>
          <w:rFonts w:ascii="Times New Roman" w:hAnsi="Times New Roman"/>
          <w:sz w:val="28"/>
        </w:rPr>
        <w:t>(наличие предостережений, предупреждений, штрафов, жалоб, возбужденных дел);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анализ нормативных правовых актов Министерства;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анализ проектов нормативных правовых актов Министерства;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мониторинг и анализ практики применения Министерством антимонопольного законодательства.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При выявлении рисков нарушения антимонопольного законодательства проводится оценка таких рисков с учетом показателей, предусмотренных Положением об антимонопольном комплаенсе, а также составляется описание рисков, в которое включается оценка причин и условия возникновения рисков.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В целях снижения рисков нарушения антимонопольного законодательства разрабатываются (не реже 1 раз в год) мероприятия по снижению рисков нарушения антимонопольного законодательства (план мероприятий).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Информация о результатах проведенной оценки рисков нарушения Минтрансом России антимонопольного законодательства, утверждении карты рисков и плана мероприятий по снижению рисков нарушения антимонопольного законодательства     в деятельности Минтранса России в 2022 году представлена в разделе II Доклада.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 xml:space="preserve">В подведомственных Минтрансу России организациях в рамках принятых          в 2020 году правовых актов обеспечивается реализация комплекса мероприятий, связанных с функционированием системы внутреннего обеспечения соответствия требованиям антимонопольного законодательства (антимонопольный комплаенс). 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0"/>
        <w:ind w:left="0" w:hanging="0"/>
        <w:jc w:val="center"/>
        <w:rPr/>
      </w:pPr>
      <w:r>
        <w:rPr>
          <w:rFonts w:ascii="Times New Roman" w:hAnsi="Times New Roman"/>
          <w:sz w:val="28"/>
        </w:rPr>
        <w:t xml:space="preserve">Информация о результатах проведенной оценки рисков нарушения </w:t>
      </w:r>
    </w:p>
    <w:p>
      <w:pPr>
        <w:pStyle w:val="Style19"/>
        <w:tabs>
          <w:tab w:val="clear" w:pos="720"/>
          <w:tab w:val="left" w:pos="284" w:leader="none"/>
        </w:tabs>
        <w:spacing w:before="0" w:after="0"/>
        <w:jc w:val="center"/>
        <w:rPr/>
      </w:pPr>
      <w:r>
        <w:rPr>
          <w:rFonts w:ascii="Times New Roman" w:hAnsi="Times New Roman"/>
          <w:sz w:val="28"/>
        </w:rPr>
        <w:t>Минтрансом России антимонопольного законодательства.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В соответствии с пунктом 3.1 Положения об антимонопольном комплаенсе,        в целях оценки рисков нарушения Министерством антимонопольного законодательства осуществлялись следующие мероприятия:</w:t>
      </w:r>
    </w:p>
    <w:p>
      <w:pPr>
        <w:pStyle w:val="FirstParagraph1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анализ выявленных нарушений антимонопольного законодательства</w:t>
        <w:br/>
        <w:t>в деятельности Министерства за предыдущие 3 года (наличие предостережений, предупреждений, штрафов, жалоб, возбужденных дел);</w:t>
      </w:r>
    </w:p>
    <w:p>
      <w:pPr>
        <w:pStyle w:val="FirstParagraph1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анализ нормативных правовых актов Министерства за 2021 год;</w:t>
      </w:r>
    </w:p>
    <w:p>
      <w:pPr>
        <w:pStyle w:val="FirstParagraph1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>анализ проектов нормативных правовых актов Министерства за 2021 год.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color w:val="FF0000"/>
        </w:rPr>
      </w:pPr>
      <w:r>
        <w:rPr>
          <w:rFonts w:ascii="Times New Roman" w:hAnsi="Times New Roman"/>
          <w:sz w:val="28"/>
        </w:rPr>
        <w:t xml:space="preserve">На основе оценки рисков нарушения антимонопольного законодательства проведенной в отношении информации, полученной от структурных подразделений Минтранса России о выявленных нарушениях антимонопольного законодательства     в деятельности Министерства, подготовлены карта рисков и план мероприятий        по снижению рисков нарушения антимонопольного законодательства в деятельности Минтранса России в 2022 году, которые утверждены приказом Минтранса России  от 04.03.2022 № 71. Данный приказ направлен в ФАС России письмом Минтранса </w:t>
      </w:r>
      <w:r>
        <w:rPr>
          <w:rFonts w:ascii="Times New Roman" w:hAnsi="Times New Roman"/>
          <w:color w:val="auto"/>
          <w:sz w:val="28"/>
        </w:rPr>
        <w:t xml:space="preserve">России от 09.03.2022 № </w:t>
      </w:r>
      <w:hyperlink r:id="rId2">
        <w:r>
          <w:rPr>
            <w:rFonts w:ascii="Times New Roman" w:hAnsi="Times New Roman"/>
            <w:color w:val="auto"/>
            <w:sz w:val="28"/>
            <w:u w:val="none"/>
          </w:rPr>
          <w:t>ДЗ-Д7-23/4469.</w:t>
        </w:r>
      </w:hyperlink>
      <w:bookmarkStart w:id="0" w:name="_GoBack"/>
      <w:bookmarkEnd w:id="0"/>
      <w:r>
        <w:rPr>
          <w:rFonts w:ascii="Times New Roman" w:hAnsi="Times New Roman"/>
          <w:color w:val="FF0000"/>
          <w:sz w:val="28"/>
        </w:rPr>
        <w:t xml:space="preserve"> 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Style19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Информация об исполнении мероприятий по снижению рисков нарушения Минтрансом России антимонопольного законодательства.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утвержденным приказом Минтранса России от 16.02.2021      № 40 планом мероприятий по снижению рисков нарушения антимонопольного законодательства в деятельности Минтранса России в 2021 году на регулярной основе проводился анализ проектов нормативных правовых актов Минтранса России на предмет их соответствия требованиям антимонопольного законодательства структурными подразделениями Минтранса России, ответственными за разработку проектов, а также структурными подразделениями Минтранса России, участвующими в согласовании. Кроме того, в течение года на регулярной основе проводился анализ проектов нормативных правовых актов Минтранса России        при их размещении на официальном сайте regulation.gov.ru в информационно-телекоммуникационной сети «Интернет» на предмет их соответствия антимонопольному законодательству.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проведенного анализа нормативных правовых актов, проектов нормативных правовых актов сделан вывод об их соответствии требованиям антимонопольного законодательства и о нецелесообразности внесения в них изменений.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пункта 3.3 Положения об антимонопольном комплаенсе Департаментом правового обеспечения и законопроектной деятельности  осуществлялось размещение на официальном сайте Министерства (в подразделе «Антимонопольный комплаенс» раздела «Законопроектная деятельность») уведомлений о начале сбора замечаний и предложений по перечню нормативных правовых актов Минтранса России за 2021 год.</w:t>
      </w:r>
    </w:p>
    <w:p>
      <w:pPr>
        <w:pStyle w:val="Normal"/>
        <w:widowControl w:val="false"/>
        <w:spacing w:before="0" w:after="0"/>
        <w:ind w:firstLine="5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данными уведомлениями замечания и предложения по актам, содержащимся в указанном перечне, осуществляется организациями и гражданами    в случае, если по мнению заявителя положения такого акта содержат возможные риски нарушения антимонопольного законодательства. 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Замечаний и предложений по нормативным правовым актам Минтранса России за 2021 год от организаций и граждан не поступали.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ab/>
        <w:t>В течение 2021 года структурными подразделениями Минтранса России, участвующими в согласовании проектов документов, связанных с закупками товаров, работ, услуг для нужд Министерства осуществлялся контроль</w:t>
        <w:br/>
        <w:t>за соблюдением требований антимонопольного законодательства на этапе согласования  документаций о закупках и проектов государственных контрактов.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ab/>
        <w:t xml:space="preserve">Департаментом правового обеспечения и законопроектной деятельностью осуществлялись консультирование служащих Министерства по вопросам, связанным с соблюдением антимонопольного законодательства, а также взаимодействие с антимонопольным органом по вопросам антимонопольного комплаенса. 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both"/>
        <w:rPr/>
      </w:pPr>
      <w:r>
        <w:rPr>
          <w:rFonts w:ascii="Times New Roman" w:hAnsi="Times New Roman"/>
          <w:sz w:val="28"/>
        </w:rPr>
        <w:tab/>
        <w:t>На постоянной основе сотрудниками Министерства осуществляется анализ рисков нарушения антимонопольного законодательства, причин и условий их возникновения, правоприменительной практики.</w:t>
      </w:r>
    </w:p>
    <w:p>
      <w:pPr>
        <w:pStyle w:val="Style19"/>
        <w:tabs>
          <w:tab w:val="clear" w:pos="720"/>
          <w:tab w:val="left" w:pos="0" w:leader="none"/>
        </w:tabs>
        <w:spacing w:before="0"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достижении ключевых показателей эффективности антимонопольного комплаенса. 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приказом Минтранса России от 31.03.2021 № 116 к ключевым показателям эффективности антимонопольного комплаенса для Министерства          в целом являются: 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 снижения количества нарушений антимонопольного законодательства со стороны Минтранса России по сравнению с предыдущим годом;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нормативных правовых актов и проектов нормативных правовых актов Министерства, в которых выявлены риски нарушения антимонопольного законодательства;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сотрудников Министерства, в отношении которых были проведены обучающие мероприятия по антимонопольному законодательству и антимонопольному комплаенсу.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оценке эффективности организации и функционирования в Минтрансе России антимонопольного комплаенса в 2021 году следует исходить из выполнения задач и реализации комплекса мероприятий, предусмотренных Положением</w:t>
        <w:br/>
        <w:t>об антимонопольном комплаенсе, планом мероприятий по снижению рисков нарушения антимонопольного законодательства в деятельности Минтранса России в 2021 году, утвержденным</w:t>
      </w:r>
      <w:r>
        <w:rPr/>
        <w:t xml:space="preserve">  </w:t>
      </w:r>
      <w:r>
        <w:rPr>
          <w:rFonts w:ascii="Times New Roman" w:hAnsi="Times New Roman"/>
          <w:sz w:val="28"/>
        </w:rPr>
        <w:t>приказом Минтранса России от 16.02.2021 № 40, а также снижения количества нарушений антимонопольного законодательства в сравнении с 2020 годом.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2021 году Минтрансу России выдано предупреждение ФАС России от 26.02.2021 № МШ/14457/21, связанное с отсутствием порядка определения платы за сервитут в соответствии с частью 4.7 статьи 25 Федерального закона от 08.11.2007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Отсутствие такого порядка привело к использованию различных способов расчета платы за сервитут, ограничению, недопущению, устранению конкуренции. 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нарушения издан приказ Минтранса России от 09.03.2022 № 76 «Об утверждении Порядка определения платы за сервитут в отношении земельных участков в границах полос отвода автомобильных дорог и Порядка подачи и рассмотрения заявления об установлении сервитута в отношении земельных участков в границах полос отвода автомобильных дорог».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2021 году значительно снизилось количество нарушений законодательства Российской Федерации о контрактной системе в сфере закупок, приводящих к ограничению конкуренции, необоснованному ограничению числа участников закупок.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Минтранса России по сравнению с предыдущим годом  определяется по формуле, указанной в пункте 4 приложения к приказу Минтранса России от 31.03.2021 № 116.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Расчетное значение ключевого показателя «Коэффициент снижения количества нарушений антимонопольного законодательства со стороны Минтранса России по сравнению с предшествующим годом» соответствует 4, что свидетельствует об эффективности антимонопольного комплаенса для Минтранса России. 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предупреждения нарушений антимонопольного законодательства в плане мероприятий по снижению рисков нарушения антимонопольного законодательства в деятельности Минтранса России в 2022 году, утвержденном приказом Минтранса России от 04.03.2022 № 71, предусмотрены мероприятия по: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соблюдению сроков разработки и принятия нормативных правовых актов Министерства, разработка которых предусмотрена планами-графиками подготовки нормативных правовых актов, необходимых для реализации норм федеральных законов;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принятию нормативного акта Минтранса России, регламентирующего порядок осуществления Министерством закупок товаров, работ, услуг для обеспечения государственных нужд. 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нормативных правовых актов и доля проектов нормативных правовых актов Министерства, в которых выявлены риски нарушения антимонопольного законодательства, в целях оценки эффективности антимонопольного комплаенса определяются по формулам, указанным в пунктах 5 и 6 приложения к приказу Минтранса России от 31.03.2021 № 116. 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тем, что в отчетном периоде значение количества нормативных правовых актов Минтранса России (проектов таких актов), в которых данным органом выявлены риски нарушения антимонопольного законодательства в отчетном периоде, и значение количества нормативных правовых актов Минтранса России (проектов таких актов), в которых антимонопольным органом выявлены нарушения антимонопольного законодательства в отчетном периоде рано нулю, то при расчете доли нормативных правовых актов Минтранса России (проектов таких актов), в которых выявлены риски нарушения антимонопольного законодательства, значения числителя и знаменателя принимается равным 1 (единице).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Значения ключевых показателей эффективности «Доля проектов нормативных правовых актов Министерства, в которых выявлены риски нарушения антимонопольного законодательства» и «Доля нормативных правовых актов Министерства, в которых выявлены риски нарушения антимонопольного законодательства» равные 1 (единице) свидетельствуют об эффективности антимонопольного комплаенса в отношении указанных показателей.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оценки эффективности по показателю «Доля сотрудников Министерства, в отношении которых были проведены обучающие мероприятия      по антимонопольному законодательству и антимонопольному комплаенсу» принимается отношение сотрудников, принявших участие в мероприятии, организованном в Министерстве с представителем Федеральной антимонопольной службы по вопросу функционирования антимонопольного комплаенса в Минтрансе России. 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принявших участие в данном мероприятии составляет 68 процентов из числа сотрудников, выполнение должностных обязанностей которых связано с рисками нарушения антимонопольного законодательства и(или) осуществляющих мероприятия по исполнению комплекса мер антимонопольного комплаенса.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указанном мероприятии участвовали 22 сотрудника из подведомственных Минтрансу России организаций, принявших систему внутреннего обеспечения соответствия требованиям антимонопольного законодательства в соответствии с распоряжением Правительства Российской Федерации от 16.08.2018 № 1697-р.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профессионального развития государственных гражданских служащих в 2023 г. планируется обучение сотрудников Министерства по вопросам антимонопольного комплаенса.</w:t>
      </w:r>
    </w:p>
    <w:p>
      <w:pPr>
        <w:pStyle w:val="Normal"/>
        <w:spacing w:before="0"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-567" w:firstLine="567"/>
        <w:jc w:val="both"/>
        <w:rPr>
          <w:rFonts w:ascii="Times New Roman" w:hAnsi="Times New Roman"/>
          <w:sz w:val="28"/>
        </w:rPr>
      </w:pPr>
      <w:r>
        <w:rPr/>
      </w:r>
    </w:p>
    <w:sectPr>
      <w:headerReference w:type="default" r:id="rId3"/>
      <w:type w:val="nextPage"/>
      <w:pgSz w:w="12240" w:h="15840"/>
      <w:pgMar w:left="1134" w:right="850" w:header="720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Tahoma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6"/>
                            <w:spacing w:before="0" w:after="2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style="position:absolute;margin-left:213.4pt;margin-top:0.05pt;width:85.95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6"/>
                      <w:spacing w:before="0" w:after="20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0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ahoma" w:cs="Droid Sans Devanagari" w:asci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Tahoma" w:cs="Droid Sans Devanagari" w:asciiTheme="minorHAnsi"/>
      <w:color w:val="00000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Style19"/>
    <w:uiPriority w:val="9"/>
    <w:qFormat/>
    <w:pPr>
      <w:keepNext w:val="true"/>
      <w:keepLines/>
      <w:spacing w:before="480" w:after="0"/>
      <w:outlineLvl w:val="0"/>
    </w:pPr>
    <w:rPr>
      <w:rFonts w:ascii="Calibri" w:hAnsi="Calibri" w:asciiTheme="majorHAnsi"/>
      <w:b/>
      <w:color w:val="345A8A" w:themeColor="accent1" w:themeShade="b5"/>
      <w:sz w:val="32"/>
    </w:rPr>
  </w:style>
  <w:style w:type="paragraph" w:styleId="2">
    <w:name w:val="Heading 2"/>
    <w:basedOn w:val="Normal"/>
    <w:next w:val="Style19"/>
    <w:uiPriority w:val="9"/>
    <w:qFormat/>
    <w:pPr>
      <w:keepNext w:val="true"/>
      <w:keepLines/>
      <w:spacing w:before="200" w:after="0"/>
      <w:outlineLvl w:val="1"/>
    </w:pPr>
    <w:rPr>
      <w:rFonts w:ascii="Calibri" w:hAnsi="Calibri" w:asciiTheme="majorHAnsi"/>
      <w:b/>
      <w:color w:val="4F81BD" w:themeColor="accent1"/>
      <w:sz w:val="32"/>
    </w:rPr>
  </w:style>
  <w:style w:type="paragraph" w:styleId="3">
    <w:name w:val="Heading 3"/>
    <w:basedOn w:val="Normal"/>
    <w:next w:val="Style19"/>
    <w:uiPriority w:val="9"/>
    <w:qFormat/>
    <w:pPr>
      <w:keepNext w:val="true"/>
      <w:keepLines/>
      <w:spacing w:before="200" w:after="0"/>
      <w:outlineLvl w:val="2"/>
    </w:pPr>
    <w:rPr>
      <w:rFonts w:ascii="Calibri" w:hAnsi="Calibri" w:asciiTheme="majorHAnsi"/>
      <w:b/>
      <w:color w:val="4F81BD" w:themeColor="accent1"/>
      <w:sz w:val="28"/>
    </w:rPr>
  </w:style>
  <w:style w:type="paragraph" w:styleId="4">
    <w:name w:val="Heading 4"/>
    <w:basedOn w:val="Normal"/>
    <w:next w:val="Style19"/>
    <w:uiPriority w:val="9"/>
    <w:qFormat/>
    <w:pPr>
      <w:keepNext w:val="true"/>
      <w:keepLines/>
      <w:spacing w:before="200" w:after="0"/>
      <w:outlineLvl w:val="3"/>
    </w:pPr>
    <w:rPr>
      <w:rFonts w:ascii="Calibri" w:hAnsi="Calibri" w:asciiTheme="majorHAnsi"/>
      <w:b/>
      <w:color w:val="4F81BD" w:themeColor="accent1"/>
    </w:rPr>
  </w:style>
  <w:style w:type="paragraph" w:styleId="5">
    <w:name w:val="Heading 5"/>
    <w:basedOn w:val="Normal"/>
    <w:next w:val="Style19"/>
    <w:uiPriority w:val="9"/>
    <w:qFormat/>
    <w:pPr>
      <w:keepNext w:val="true"/>
      <w:keepLines/>
      <w:spacing w:before="200" w:after="0"/>
      <w:outlineLvl w:val="4"/>
    </w:pPr>
    <w:rPr>
      <w:rFonts w:ascii="Calibri" w:hAnsi="Calibri" w:asciiTheme="majorHAnsi"/>
      <w:i/>
      <w:color w:val="4F81BD" w:themeColor="accent1"/>
    </w:rPr>
  </w:style>
  <w:style w:type="paragraph" w:styleId="6">
    <w:name w:val="Heading 6"/>
    <w:basedOn w:val="Normal"/>
    <w:next w:val="Style19"/>
    <w:uiPriority w:val="9"/>
    <w:qFormat/>
    <w:pPr>
      <w:keepNext w:val="true"/>
      <w:keepLines/>
      <w:spacing w:before="200" w:after="0"/>
      <w:outlineLvl w:val="5"/>
    </w:pPr>
    <w:rPr>
      <w:rFonts w:ascii="Calibri" w:hAnsi="Calibri" w:asciiTheme="majorHAnsi"/>
      <w:color w:val="4F81BD" w:themeColor="accent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Нижний колонтитул1"/>
    <w:qFormat/>
    <w:rPr/>
  </w:style>
  <w:style w:type="character" w:styleId="12" w:customStyle="1">
    <w:name w:val="Список1"/>
    <w:basedOn w:val="Textbody"/>
    <w:qFormat/>
    <w:rPr/>
  </w:style>
  <w:style w:type="character" w:styleId="Contents2" w:customStyle="1">
    <w:name w:val="Contents 2"/>
    <w:qFormat/>
    <w:rPr/>
  </w:style>
  <w:style w:type="character" w:styleId="BuiltInTok" w:customStyle="1">
    <w:name w:val="BuiltInTok"/>
    <w:basedOn w:val="SourceCode"/>
    <w:qFormat/>
    <w:rPr>
      <w:rFonts w:ascii="Consolas" w:hAnsi="Consolas"/>
      <w:sz w:val="22"/>
    </w:rPr>
  </w:style>
  <w:style w:type="character" w:styleId="VerbatimStringTok" w:customStyle="1">
    <w:name w:val="VerbatimStringTok"/>
    <w:basedOn w:val="SourceCode"/>
    <w:qFormat/>
    <w:rPr>
      <w:rFonts w:ascii="Consolas" w:hAnsi="Consolas"/>
      <w:color w:val="4070A0"/>
      <w:sz w:val="22"/>
    </w:rPr>
  </w:style>
  <w:style w:type="character" w:styleId="DataTypeTok" w:customStyle="1">
    <w:name w:val="DataTypeTok"/>
    <w:basedOn w:val="SourceCode"/>
    <w:qFormat/>
    <w:rPr>
      <w:rFonts w:ascii="Consolas" w:hAnsi="Consolas"/>
      <w:color w:val="902000"/>
      <w:sz w:val="22"/>
    </w:rPr>
  </w:style>
  <w:style w:type="character" w:styleId="OperatorTok" w:customStyle="1">
    <w:name w:val="OperatorTok"/>
    <w:basedOn w:val="SourceCode"/>
    <w:qFormat/>
    <w:rPr>
      <w:rFonts w:ascii="Consolas" w:hAnsi="Consolas"/>
      <w:color w:val="666666"/>
      <w:sz w:val="22"/>
    </w:rPr>
  </w:style>
  <w:style w:type="character" w:styleId="Contents4" w:customStyle="1">
    <w:name w:val="Contents 4"/>
    <w:qFormat/>
    <w:rPr/>
  </w:style>
  <w:style w:type="character" w:styleId="Style8" w:customStyle="1">
    <w:name w:val="Текст выноски Знак"/>
    <w:basedOn w:val="DefaultParagraphFont"/>
    <w:qFormat/>
    <w:rPr>
      <w:rFonts w:ascii="Tahoma" w:hAnsi="Tahoma"/>
      <w:sz w:val="16"/>
    </w:rPr>
  </w:style>
  <w:style w:type="character" w:styleId="Contents6" w:customStyle="1">
    <w:name w:val="Contents 6"/>
    <w:qFormat/>
    <w:rPr/>
  </w:style>
  <w:style w:type="character" w:styleId="Contents7" w:customStyle="1">
    <w:name w:val="Contents 7"/>
    <w:qFormat/>
    <w:rPr/>
  </w:style>
  <w:style w:type="character" w:styleId="FirstParagraph" w:customStyle="1">
    <w:name w:val="First Paragraph"/>
    <w:basedOn w:val="Textbody"/>
    <w:qFormat/>
    <w:rPr/>
  </w:style>
  <w:style w:type="character" w:styleId="ConstantTok" w:customStyle="1">
    <w:name w:val="ConstantTok"/>
    <w:basedOn w:val="SourceCode"/>
    <w:qFormat/>
    <w:rPr>
      <w:rFonts w:ascii="Consolas" w:hAnsi="Consolas"/>
      <w:color w:val="880000"/>
      <w:sz w:val="22"/>
    </w:rPr>
  </w:style>
  <w:style w:type="character" w:styleId="31" w:customStyle="1">
    <w:name w:val="Заголовок 31"/>
    <w:qFormat/>
    <w:rPr>
      <w:rFonts w:ascii="Calibri" w:hAnsi="Calibri" w:asciiTheme="majorHAnsi"/>
      <w:b/>
      <w:color w:val="4F81BD" w:themeColor="accent1"/>
      <w:sz w:val="28"/>
    </w:rPr>
  </w:style>
  <w:style w:type="character" w:styleId="ControlFlowTok" w:customStyle="1">
    <w:name w:val="ControlFlowTok"/>
    <w:basedOn w:val="SourceCode"/>
    <w:qFormat/>
    <w:rPr>
      <w:rFonts w:ascii="Consolas" w:hAnsi="Consolas"/>
      <w:b/>
      <w:color w:val="007020"/>
      <w:sz w:val="22"/>
    </w:rPr>
  </w:style>
  <w:style w:type="character" w:styleId="FigurewithCaption" w:customStyle="1">
    <w:name w:val="Figure with Caption"/>
    <w:basedOn w:val="Style17"/>
    <w:qFormat/>
    <w:rPr/>
  </w:style>
  <w:style w:type="character" w:styleId="Style9">
    <w:name w:val="Интернет-ссылка"/>
    <w:basedOn w:val="Style12"/>
    <w:uiPriority w:val="99"/>
    <w:rsid w:val="00b821ba"/>
    <w:rPr>
      <w:color w:val="0000FF" w:themeColor="hyperlink"/>
      <w:u w:val="single"/>
    </w:rPr>
  </w:style>
  <w:style w:type="character" w:styleId="AnnotationTok" w:customStyle="1">
    <w:name w:val="AnnotationTok"/>
    <w:basedOn w:val="SourceCode"/>
    <w:qFormat/>
    <w:rPr>
      <w:rFonts w:ascii="Consolas" w:hAnsi="Consolas"/>
      <w:b/>
      <w:i/>
      <w:color w:val="60A0B0"/>
      <w:sz w:val="22"/>
    </w:rPr>
  </w:style>
  <w:style w:type="character" w:styleId="Style10" w:customStyle="1">
    <w:name w:val="Верхний колонтитул Знак"/>
    <w:basedOn w:val="DefaultParagraphFont"/>
    <w:qFormat/>
    <w:rPr/>
  </w:style>
  <w:style w:type="character" w:styleId="13" w:customStyle="1">
    <w:name w:val="Заголовок оглавления1"/>
    <w:basedOn w:val="111"/>
    <w:qFormat/>
    <w:rPr>
      <w:rFonts w:ascii="Calibri" w:hAnsi="Calibri" w:asciiTheme="majorHAnsi"/>
      <w:b w:val="false"/>
      <w:color w:val="365F91" w:themeColor="accent1" w:themeShade="bf"/>
      <w:sz w:val="32"/>
    </w:rPr>
  </w:style>
  <w:style w:type="character" w:styleId="14" w:customStyle="1">
    <w:name w:val="Дата1"/>
    <w:qFormat/>
    <w:rPr>
      <w:sz w:val="24"/>
    </w:rPr>
  </w:style>
  <w:style w:type="character" w:styleId="FloatTok" w:customStyle="1">
    <w:name w:val="FloatTok"/>
    <w:basedOn w:val="SourceCode"/>
    <w:qFormat/>
    <w:rPr>
      <w:rFonts w:ascii="Consolas" w:hAnsi="Consolas"/>
      <w:color w:val="40A070"/>
      <w:sz w:val="22"/>
    </w:rPr>
  </w:style>
  <w:style w:type="character" w:styleId="15" w:customStyle="1">
    <w:name w:val="Текст выноски1"/>
    <w:qFormat/>
    <w:rPr>
      <w:rFonts w:ascii="Tahoma" w:hAnsi="Tahoma"/>
      <w:sz w:val="16"/>
    </w:rPr>
  </w:style>
  <w:style w:type="character" w:styleId="16" w:customStyle="1">
    <w:name w:val="Текст примечания1"/>
    <w:qFormat/>
    <w:rPr>
      <w:sz w:val="20"/>
    </w:rPr>
  </w:style>
  <w:style w:type="character" w:styleId="TableCaption" w:customStyle="1">
    <w:name w:val="Table Caption"/>
    <w:basedOn w:val="17"/>
    <w:qFormat/>
    <w:rPr>
      <w:i/>
    </w:rPr>
  </w:style>
  <w:style w:type="character" w:styleId="SpecialStringTok" w:customStyle="1">
    <w:name w:val="SpecialStringTok"/>
    <w:basedOn w:val="SourceCode"/>
    <w:qFormat/>
    <w:rPr>
      <w:rFonts w:ascii="Consolas" w:hAnsi="Consolas"/>
      <w:color w:val="BB6688"/>
      <w:sz w:val="22"/>
    </w:rPr>
  </w:style>
  <w:style w:type="character" w:styleId="Style11" w:customStyle="1">
    <w:name w:val="Привязка сноски"/>
    <w:rPr>
      <w:vertAlign w:val="superscript"/>
    </w:rPr>
  </w:style>
  <w:style w:type="character" w:styleId="KeywordTok" w:customStyle="1">
    <w:name w:val="KeywordTok"/>
    <w:basedOn w:val="SourceCode"/>
    <w:qFormat/>
    <w:rPr>
      <w:rFonts w:ascii="Consolas" w:hAnsi="Consolas"/>
      <w:b/>
      <w:color w:val="007020"/>
      <w:sz w:val="22"/>
    </w:rPr>
  </w:style>
  <w:style w:type="character" w:styleId="FunctionTok" w:customStyle="1">
    <w:name w:val="FunctionTok"/>
    <w:basedOn w:val="SourceCode"/>
    <w:qFormat/>
    <w:rPr>
      <w:rFonts w:ascii="Consolas" w:hAnsi="Consolas"/>
      <w:color w:val="06287E"/>
      <w:sz w:val="22"/>
    </w:rPr>
  </w:style>
  <w:style w:type="character" w:styleId="CommentVarTok" w:customStyle="1">
    <w:name w:val="CommentVarTok"/>
    <w:basedOn w:val="SourceCode"/>
    <w:qFormat/>
    <w:rPr>
      <w:rFonts w:ascii="Consolas" w:hAnsi="Consolas"/>
      <w:b/>
      <w:i/>
      <w:color w:val="60A0B0"/>
      <w:sz w:val="22"/>
    </w:rPr>
  </w:style>
  <w:style w:type="character" w:styleId="Style12" w:customStyle="1">
    <w:name w:val="Название объекта Знак"/>
    <w:basedOn w:val="DefaultParagraphFont"/>
    <w:qFormat/>
    <w:rPr/>
  </w:style>
  <w:style w:type="character" w:styleId="Abstract" w:customStyle="1">
    <w:name w:val="Abstract"/>
    <w:qFormat/>
    <w:rPr>
      <w:sz w:val="20"/>
    </w:rPr>
  </w:style>
  <w:style w:type="character" w:styleId="StringTok" w:customStyle="1">
    <w:name w:val="StringTok"/>
    <w:basedOn w:val="SourceCode"/>
    <w:qFormat/>
    <w:rPr>
      <w:rFonts w:ascii="Consolas" w:hAnsi="Consolas"/>
      <w:color w:val="4070A0"/>
      <w:sz w:val="22"/>
    </w:rPr>
  </w:style>
  <w:style w:type="character" w:styleId="ExtensionTok" w:customStyle="1">
    <w:name w:val="ExtensionTok"/>
    <w:basedOn w:val="SourceCode"/>
    <w:qFormat/>
    <w:rPr>
      <w:rFonts w:ascii="Consolas" w:hAnsi="Consolas"/>
      <w:sz w:val="22"/>
    </w:rPr>
  </w:style>
  <w:style w:type="character" w:styleId="Contents3" w:customStyle="1">
    <w:name w:val="Contents 3"/>
    <w:qFormat/>
    <w:rPr/>
  </w:style>
  <w:style w:type="character" w:styleId="CharTok" w:customStyle="1">
    <w:name w:val="CharTok"/>
    <w:basedOn w:val="SourceCode"/>
    <w:qFormat/>
    <w:rPr>
      <w:rFonts w:ascii="Consolas" w:hAnsi="Consolas"/>
      <w:color w:val="4070A0"/>
      <w:sz w:val="22"/>
    </w:rPr>
  </w:style>
  <w:style w:type="character" w:styleId="Compact" w:customStyle="1">
    <w:name w:val="Compact"/>
    <w:basedOn w:val="Textbody"/>
    <w:qFormat/>
    <w:rPr/>
  </w:style>
  <w:style w:type="character" w:styleId="Style13" w:customStyle="1">
    <w:name w:val="Верхний и нижний колонтитулы"/>
    <w:qFormat/>
    <w:rPr/>
  </w:style>
  <w:style w:type="character" w:styleId="OtherTok" w:customStyle="1">
    <w:name w:val="OtherTok"/>
    <w:basedOn w:val="SourceCode"/>
    <w:qFormat/>
    <w:rPr>
      <w:rFonts w:ascii="Consolas" w:hAnsi="Consolas"/>
      <w:color w:val="007020"/>
      <w:sz w:val="22"/>
    </w:rPr>
  </w:style>
  <w:style w:type="character" w:styleId="PreprocessorTok" w:customStyle="1">
    <w:name w:val="PreprocessorTok"/>
    <w:basedOn w:val="SourceCode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SourceCode"/>
    <w:qFormat/>
    <w:rPr>
      <w:rFonts w:ascii="Consolas" w:hAnsi="Consolas"/>
      <w:color w:val="7D9029"/>
      <w:sz w:val="22"/>
    </w:rPr>
  </w:style>
  <w:style w:type="character" w:styleId="Style14" w:customStyle="1">
    <w:name w:val="Определение"/>
    <w:qFormat/>
    <w:rPr/>
  </w:style>
  <w:style w:type="character" w:styleId="Annotationreference">
    <w:name w:val="annotation reference"/>
    <w:basedOn w:val="DefaultParagraphFont"/>
    <w:qFormat/>
    <w:rPr>
      <w:sz w:val="16"/>
    </w:rPr>
  </w:style>
  <w:style w:type="character" w:styleId="17" w:customStyle="1">
    <w:name w:val="Название объекта1"/>
    <w:qFormat/>
    <w:rPr>
      <w:i/>
    </w:rPr>
  </w:style>
  <w:style w:type="character" w:styleId="18" w:customStyle="1">
    <w:name w:val="Тема примечания1"/>
    <w:basedOn w:val="16"/>
    <w:qFormat/>
    <w:rPr>
      <w:b/>
      <w:sz w:val="20"/>
    </w:rPr>
  </w:style>
  <w:style w:type="character" w:styleId="AlertTok" w:customStyle="1">
    <w:name w:val="AlertTok"/>
    <w:basedOn w:val="SourceCode"/>
    <w:qFormat/>
    <w:rPr>
      <w:rFonts w:ascii="Consolas" w:hAnsi="Consolas"/>
      <w:b/>
      <w:color w:val="FF0000"/>
      <w:sz w:val="22"/>
    </w:rPr>
  </w:style>
  <w:style w:type="character" w:styleId="SpecialCharTok" w:customStyle="1">
    <w:name w:val="SpecialCharTok"/>
    <w:basedOn w:val="SourceCode"/>
    <w:qFormat/>
    <w:rPr>
      <w:rFonts w:ascii="Consolas" w:hAnsi="Consolas"/>
      <w:color w:val="4070A0"/>
      <w:sz w:val="22"/>
    </w:rPr>
  </w:style>
  <w:style w:type="character" w:styleId="RegionMarkerTok" w:customStyle="1">
    <w:name w:val="RegionMarkerTok"/>
    <w:basedOn w:val="SourceCode"/>
    <w:qFormat/>
    <w:rPr>
      <w:rFonts w:ascii="Consolas" w:hAnsi="Consolas"/>
      <w:sz w:val="22"/>
    </w:rPr>
  </w:style>
  <w:style w:type="character" w:styleId="51" w:customStyle="1">
    <w:name w:val="Заголовок 51"/>
    <w:qFormat/>
    <w:rPr>
      <w:rFonts w:ascii="Calibri" w:hAnsi="Calibri" w:asciiTheme="majorHAnsi"/>
      <w:i/>
      <w:color w:val="4F81BD" w:themeColor="accent1"/>
    </w:rPr>
  </w:style>
  <w:style w:type="character" w:styleId="VariableTok" w:customStyle="1">
    <w:name w:val="VariableTok"/>
    <w:basedOn w:val="SourceCode"/>
    <w:qFormat/>
    <w:rPr>
      <w:rFonts w:ascii="Consolas" w:hAnsi="Consolas"/>
      <w:color w:val="19177C"/>
      <w:sz w:val="22"/>
    </w:rPr>
  </w:style>
  <w:style w:type="character" w:styleId="WarningTok" w:customStyle="1">
    <w:name w:val="WarningTok"/>
    <w:basedOn w:val="SourceCode"/>
    <w:qFormat/>
    <w:rPr>
      <w:rFonts w:ascii="Consolas" w:hAnsi="Consolas"/>
      <w:b/>
      <w:i/>
      <w:color w:val="60A0B0"/>
      <w:sz w:val="22"/>
    </w:rPr>
  </w:style>
  <w:style w:type="character" w:styleId="111" w:customStyle="1">
    <w:name w:val="Заголовок 11"/>
    <w:qFormat/>
    <w:rPr>
      <w:rFonts w:ascii="Calibri" w:hAnsi="Calibri" w:asciiTheme="majorHAnsi"/>
      <w:b/>
      <w:color w:val="345A8A" w:themeColor="accent1" w:themeShade="b5"/>
      <w:sz w:val="32"/>
    </w:rPr>
  </w:style>
  <w:style w:type="character" w:styleId="Footnote" w:customStyle="1">
    <w:name w:val="Footnote"/>
    <w:qFormat/>
    <w:rPr/>
  </w:style>
  <w:style w:type="character" w:styleId="DefinitionTerm" w:customStyle="1">
    <w:name w:val="Definition Term"/>
    <w:qFormat/>
    <w:rPr>
      <w:b/>
    </w:rPr>
  </w:style>
  <w:style w:type="character" w:styleId="Contents1" w:customStyle="1">
    <w:name w:val="Contents 1"/>
    <w:qFormat/>
    <w:rPr>
      <w:rFonts w:ascii="XO Thames" w:hAnsi="XO Thames"/>
      <w:b/>
    </w:rPr>
  </w:style>
  <w:style w:type="character" w:styleId="Author" w:customStyle="1">
    <w:name w:val="Author"/>
    <w:qFormat/>
    <w:rPr>
      <w:sz w:val="24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Style15" w:customStyle="1">
    <w:name w:val="Нижний колонтитул Знак"/>
    <w:basedOn w:val="DefaultParagraphFont"/>
    <w:qFormat/>
    <w:rPr/>
  </w:style>
  <w:style w:type="character" w:styleId="19" w:customStyle="1">
    <w:name w:val="Список литературы1"/>
    <w:qFormat/>
    <w:rPr/>
  </w:style>
  <w:style w:type="character" w:styleId="ImportTok" w:customStyle="1">
    <w:name w:val="ImportTok"/>
    <w:basedOn w:val="SourceCode"/>
    <w:qFormat/>
    <w:rPr>
      <w:rFonts w:ascii="Consolas" w:hAnsi="Consolas"/>
      <w:sz w:val="22"/>
    </w:rPr>
  </w:style>
  <w:style w:type="character" w:styleId="110" w:customStyle="1">
    <w:name w:val="Цитата1"/>
    <w:basedOn w:val="Textbody"/>
    <w:qFormat/>
    <w:rPr>
      <w:rFonts w:ascii="Calibri" w:hAnsi="Calibri" w:asciiTheme="majorHAnsi"/>
      <w:sz w:val="20"/>
    </w:rPr>
  </w:style>
  <w:style w:type="character" w:styleId="ImageCaption" w:customStyle="1">
    <w:name w:val="Image Caption"/>
    <w:basedOn w:val="17"/>
    <w:qFormat/>
    <w:rPr>
      <w:i/>
    </w:rPr>
  </w:style>
  <w:style w:type="character" w:styleId="Contents9" w:customStyle="1">
    <w:name w:val="Contents 9"/>
    <w:qFormat/>
    <w:rPr/>
  </w:style>
  <w:style w:type="character" w:styleId="ErrorTok" w:customStyle="1">
    <w:name w:val="ErrorTok"/>
    <w:basedOn w:val="SourceCode"/>
    <w:qFormat/>
    <w:rPr>
      <w:rFonts w:ascii="Consolas" w:hAnsi="Consolas"/>
      <w:b/>
      <w:color w:val="FF0000"/>
      <w:sz w:val="22"/>
    </w:rPr>
  </w:style>
  <w:style w:type="character" w:styleId="112" w:customStyle="1">
    <w:name w:val="Верхний колонтитул1"/>
    <w:qFormat/>
    <w:rPr/>
  </w:style>
  <w:style w:type="character" w:styleId="113" w:customStyle="1">
    <w:name w:val="Указатель1"/>
    <w:qFormat/>
    <w:rPr/>
  </w:style>
  <w:style w:type="character" w:styleId="Style16" w:customStyle="1">
    <w:name w:val="Заголовок"/>
    <w:qFormat/>
    <w:rPr>
      <w:rFonts w:ascii="Arial" w:hAnsi="Arial"/>
      <w:sz w:val="28"/>
    </w:rPr>
  </w:style>
  <w:style w:type="character" w:styleId="DocumentationTok" w:customStyle="1">
    <w:name w:val="DocumentationTok"/>
    <w:basedOn w:val="SourceCode"/>
    <w:qFormat/>
    <w:rPr>
      <w:rFonts w:ascii="Consolas" w:hAnsi="Consolas"/>
      <w:i/>
      <w:color w:val="BA2121"/>
      <w:sz w:val="22"/>
    </w:rPr>
  </w:style>
  <w:style w:type="character" w:styleId="BaseNTok" w:customStyle="1">
    <w:name w:val="BaseNTok"/>
    <w:basedOn w:val="SourceCode"/>
    <w:qFormat/>
    <w:rPr>
      <w:rFonts w:ascii="Consolas" w:hAnsi="Consolas"/>
      <w:color w:val="40A070"/>
      <w:sz w:val="22"/>
    </w:rPr>
  </w:style>
  <w:style w:type="character" w:styleId="Contents8" w:customStyle="1">
    <w:name w:val="Contents 8"/>
    <w:qFormat/>
    <w:rPr/>
  </w:style>
  <w:style w:type="character" w:styleId="CommentTok" w:customStyle="1">
    <w:name w:val="CommentTok"/>
    <w:basedOn w:val="SourceCode"/>
    <w:qFormat/>
    <w:rPr>
      <w:rFonts w:ascii="Consolas" w:hAnsi="Consolas"/>
      <w:i/>
      <w:color w:val="60A0B0"/>
      <w:sz w:val="22"/>
    </w:rPr>
  </w:style>
  <w:style w:type="character" w:styleId="NormalTok" w:customStyle="1">
    <w:name w:val="NormalTok"/>
    <w:basedOn w:val="SourceCode"/>
    <w:qFormat/>
    <w:rPr>
      <w:rFonts w:ascii="Consolas" w:hAnsi="Consolas"/>
      <w:sz w:val="22"/>
    </w:rPr>
  </w:style>
  <w:style w:type="character" w:styleId="Contents5" w:customStyle="1">
    <w:name w:val="Contents 5"/>
    <w:qFormat/>
    <w:rPr/>
  </w:style>
  <w:style w:type="character" w:styleId="DecValTok" w:customStyle="1">
    <w:name w:val="DecValTok"/>
    <w:basedOn w:val="SourceCode"/>
    <w:qFormat/>
    <w:rPr>
      <w:rFonts w:ascii="Consolas" w:hAnsi="Consolas"/>
      <w:color w:val="40A070"/>
      <w:sz w:val="22"/>
    </w:rPr>
  </w:style>
  <w:style w:type="character" w:styleId="Textbody" w:customStyle="1">
    <w:name w:val="Text body"/>
    <w:qFormat/>
    <w:rPr/>
  </w:style>
  <w:style w:type="character" w:styleId="SourceCode" w:customStyle="1">
    <w:name w:val="Source Code"/>
    <w:qFormat/>
    <w:rPr/>
  </w:style>
  <w:style w:type="character" w:styleId="114" w:customStyle="1">
    <w:name w:val="Подзаголовок1"/>
    <w:basedOn w:val="115"/>
    <w:qFormat/>
    <w:rPr>
      <w:rFonts w:ascii="Calibri" w:hAnsi="Calibri" w:asciiTheme="majorHAnsi"/>
      <w:b/>
      <w:color w:val="345A8A" w:themeColor="accent1" w:themeShade="b5"/>
      <w:sz w:val="30"/>
    </w:rPr>
  </w:style>
  <w:style w:type="character" w:styleId="Toc10" w:customStyle="1">
    <w:name w:val="toc 10"/>
    <w:qFormat/>
    <w:rPr/>
  </w:style>
  <w:style w:type="character" w:styleId="115" w:customStyle="1">
    <w:name w:val="Название1"/>
    <w:qFormat/>
    <w:rPr>
      <w:rFonts w:ascii="Calibri" w:hAnsi="Calibri" w:asciiTheme="majorHAnsi"/>
      <w:b/>
      <w:color w:val="345A8A" w:themeColor="accent1" w:themeShade="b5"/>
      <w:sz w:val="36"/>
    </w:rPr>
  </w:style>
  <w:style w:type="character" w:styleId="InformationTok" w:customStyle="1">
    <w:name w:val="InformationTok"/>
    <w:basedOn w:val="SourceCode"/>
    <w:qFormat/>
    <w:rPr>
      <w:rFonts w:ascii="Consolas" w:hAnsi="Consolas"/>
      <w:b/>
      <w:i/>
      <w:color w:val="60A0B0"/>
      <w:sz w:val="22"/>
    </w:rPr>
  </w:style>
  <w:style w:type="character" w:styleId="41" w:customStyle="1">
    <w:name w:val="Заголовок 41"/>
    <w:qFormat/>
    <w:rPr>
      <w:rFonts w:ascii="Calibri" w:hAnsi="Calibri" w:asciiTheme="majorHAnsi"/>
      <w:b/>
      <w:color w:val="4F81BD" w:themeColor="accent1"/>
    </w:rPr>
  </w:style>
  <w:style w:type="character" w:styleId="Style17" w:customStyle="1">
    <w:name w:val="Фигура"/>
    <w:qFormat/>
    <w:rPr/>
  </w:style>
  <w:style w:type="character" w:styleId="21" w:customStyle="1">
    <w:name w:val="Заголовок 21"/>
    <w:qFormat/>
    <w:rPr>
      <w:rFonts w:ascii="Calibri" w:hAnsi="Calibri" w:asciiTheme="majorHAnsi"/>
      <w:b/>
      <w:color w:val="4F81BD" w:themeColor="accent1"/>
      <w:sz w:val="32"/>
    </w:rPr>
  </w:style>
  <w:style w:type="character" w:styleId="FootnoteCharacters" w:customStyle="1">
    <w:name w:val="Footnote Characters"/>
    <w:basedOn w:val="Style12"/>
    <w:qFormat/>
    <w:rPr>
      <w:vertAlign w:val="superscript"/>
    </w:rPr>
  </w:style>
  <w:style w:type="character" w:styleId="61" w:customStyle="1">
    <w:name w:val="Заголовок 61"/>
    <w:qFormat/>
    <w:rPr>
      <w:rFonts w:ascii="Calibri" w:hAnsi="Calibri" w:asciiTheme="majorHAnsi"/>
      <w:color w:val="4F81BD" w:themeColor="accent1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19">
    <w:name w:val="Body Text"/>
    <w:basedOn w:val="Normal"/>
    <w:pPr>
      <w:spacing w:before="180" w:after="18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pacing w:before="0" w:after="120"/>
    </w:pPr>
    <w:rPr>
      <w:i/>
    </w:rPr>
  </w:style>
  <w:style w:type="paragraph" w:styleId="Indexheading">
    <w:name w:val="index heading"/>
    <w:basedOn w:val="Normal"/>
    <w:qFormat/>
    <w:pPr/>
    <w:rPr/>
  </w:style>
  <w:style w:type="paragraph" w:styleId="Style23" w:customStyle="1">
    <w:name w:val="Верхний и нижний колонтитулы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22">
    <w:name w:val="TOC 2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BuiltInTok1" w:customStyle="1">
    <w:name w:val="BuiltInTok"/>
    <w:basedOn w:val="SourceCode1"/>
    <w:qFormat/>
    <w:pPr/>
    <w:rPr>
      <w:rFonts w:ascii="Consolas" w:hAnsi="Consolas"/>
      <w:sz w:val="22"/>
    </w:rPr>
  </w:style>
  <w:style w:type="paragraph" w:styleId="VerbatimStringTok1" w:customStyle="1">
    <w:name w:val="VerbatimStringTok"/>
    <w:basedOn w:val="SourceCode1"/>
    <w:qFormat/>
    <w:pPr/>
    <w:rPr>
      <w:rFonts w:ascii="Consolas" w:hAnsi="Consolas"/>
      <w:color w:val="4070A0"/>
      <w:sz w:val="22"/>
    </w:rPr>
  </w:style>
  <w:style w:type="paragraph" w:styleId="DataTypeTok1" w:customStyle="1">
    <w:name w:val="DataTypeTok"/>
    <w:basedOn w:val="SourceCode1"/>
    <w:qFormat/>
    <w:pPr/>
    <w:rPr>
      <w:rFonts w:ascii="Consolas" w:hAnsi="Consolas"/>
      <w:color w:val="902000"/>
      <w:sz w:val="22"/>
    </w:rPr>
  </w:style>
  <w:style w:type="paragraph" w:styleId="OperatorTok1" w:customStyle="1">
    <w:name w:val="OperatorTok"/>
    <w:basedOn w:val="SourceCode1"/>
    <w:qFormat/>
    <w:pPr/>
    <w:rPr>
      <w:rFonts w:ascii="Consolas" w:hAnsi="Consolas"/>
      <w:color w:val="666666"/>
      <w:sz w:val="22"/>
    </w:rPr>
  </w:style>
  <w:style w:type="paragraph" w:styleId="42">
    <w:name w:val="TOC 4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Style26" w:customStyle="1">
    <w:name w:val="Текст выноски Знак"/>
    <w:basedOn w:val="119"/>
    <w:qFormat/>
    <w:pPr/>
    <w:rPr>
      <w:rFonts w:ascii="Tahoma" w:hAnsi="Tahoma"/>
      <w:sz w:val="16"/>
    </w:rPr>
  </w:style>
  <w:style w:type="paragraph" w:styleId="62">
    <w:name w:val="TOC 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7">
    <w:name w:val="TOC 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FirstParagraph1" w:customStyle="1">
    <w:name w:val="First Paragraph"/>
    <w:basedOn w:val="Style19"/>
    <w:next w:val="Style19"/>
    <w:qFormat/>
    <w:pPr/>
    <w:rPr/>
  </w:style>
  <w:style w:type="paragraph" w:styleId="ConstantTok1" w:customStyle="1">
    <w:name w:val="ConstantTok"/>
    <w:basedOn w:val="SourceCode1"/>
    <w:qFormat/>
    <w:pPr/>
    <w:rPr>
      <w:rFonts w:ascii="Consolas" w:hAnsi="Consolas"/>
      <w:color w:val="880000"/>
      <w:sz w:val="22"/>
    </w:rPr>
  </w:style>
  <w:style w:type="paragraph" w:styleId="ControlFlowTok1" w:customStyle="1">
    <w:name w:val="ControlFlowTok"/>
    <w:basedOn w:val="SourceCode1"/>
    <w:qFormat/>
    <w:pPr/>
    <w:rPr>
      <w:rFonts w:ascii="Consolas" w:hAnsi="Consolas"/>
      <w:b/>
      <w:color w:val="007020"/>
      <w:sz w:val="22"/>
    </w:rPr>
  </w:style>
  <w:style w:type="paragraph" w:styleId="FigurewithCaption1" w:customStyle="1">
    <w:name w:val="Figure with Caption"/>
    <w:basedOn w:val="Style27"/>
    <w:qFormat/>
    <w:pPr>
      <w:keepNext w:val="true"/>
    </w:pPr>
    <w:rPr/>
  </w:style>
  <w:style w:type="paragraph" w:styleId="Style27" w:customStyle="1">
    <w:name w:val="Фигура"/>
    <w:basedOn w:val="Normal"/>
    <w:qFormat/>
    <w:pPr/>
    <w:rPr/>
  </w:style>
  <w:style w:type="paragraph" w:styleId="Style28" w:customStyle="1">
    <w:name w:val="Интернет-ссылка"/>
    <w:basedOn w:val="Style31"/>
    <w:qFormat/>
    <w:pPr/>
    <w:rPr>
      <w:color w:val="4F81BD" w:themeColor="accent1"/>
    </w:rPr>
  </w:style>
  <w:style w:type="paragraph" w:styleId="AnnotationTok1" w:customStyle="1">
    <w:name w:val="AnnotationTok"/>
    <w:basedOn w:val="SourceCode1"/>
    <w:qFormat/>
    <w:pPr/>
    <w:rPr>
      <w:rFonts w:ascii="Consolas" w:hAnsi="Consolas"/>
      <w:b/>
      <w:i/>
      <w:color w:val="60A0B0"/>
      <w:sz w:val="22"/>
    </w:rPr>
  </w:style>
  <w:style w:type="paragraph" w:styleId="Style29" w:customStyle="1">
    <w:name w:val="Верхний колонтитул Знак"/>
    <w:basedOn w:val="119"/>
    <w:qFormat/>
    <w:pPr/>
    <w:rPr/>
  </w:style>
  <w:style w:type="paragraph" w:styleId="TOCHeading">
    <w:name w:val="TOC Heading"/>
    <w:basedOn w:val="1"/>
    <w:next w:val="Style19"/>
    <w:qFormat/>
    <w:pPr>
      <w:spacing w:lineRule="auto" w:line="264" w:before="240" w:after="120"/>
    </w:pPr>
    <w:rPr>
      <w:b w:val="false"/>
      <w:color w:val="365F91" w:themeColor="accent1" w:themeShade="bf"/>
    </w:rPr>
  </w:style>
  <w:style w:type="paragraph" w:styleId="Date">
    <w:name w:val="Date"/>
    <w:next w:val="Style19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Tahoma" w:cs="Droid Sans Devanagari" w:asciiTheme="minorHAnsi"/>
      <w:color w:val="000000"/>
      <w:kern w:val="0"/>
      <w:sz w:val="24"/>
      <w:szCs w:val="20"/>
      <w:lang w:val="ru-RU" w:eastAsia="zh-CN" w:bidi="hi-IN"/>
    </w:rPr>
  </w:style>
  <w:style w:type="paragraph" w:styleId="FloatTok1" w:customStyle="1">
    <w:name w:val="FloatTok"/>
    <w:basedOn w:val="SourceCode1"/>
    <w:qFormat/>
    <w:pPr/>
    <w:rPr>
      <w:rFonts w:ascii="Consolas" w:hAnsi="Consolas"/>
      <w:color w:val="40A070"/>
      <w:sz w:val="22"/>
    </w:rPr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/>
      <w:sz w:val="16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TableCaption1" w:customStyle="1">
    <w:name w:val="Table Caption"/>
    <w:basedOn w:val="Caption"/>
    <w:qFormat/>
    <w:pPr>
      <w:keepNext w:val="true"/>
    </w:pPr>
    <w:rPr/>
  </w:style>
  <w:style w:type="paragraph" w:styleId="SpecialStringTok1" w:customStyle="1">
    <w:name w:val="SpecialStringTok"/>
    <w:basedOn w:val="SourceCode1"/>
    <w:qFormat/>
    <w:pPr/>
    <w:rPr>
      <w:rFonts w:ascii="Consolas" w:hAnsi="Consolas"/>
      <w:color w:val="BB6688"/>
      <w:sz w:val="22"/>
    </w:rPr>
  </w:style>
  <w:style w:type="paragraph" w:styleId="Style30" w:customStyle="1">
    <w:name w:val="Привязка сноски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KeywordTok1" w:customStyle="1">
    <w:name w:val="KeywordTok"/>
    <w:basedOn w:val="SourceCode1"/>
    <w:qFormat/>
    <w:pPr/>
    <w:rPr>
      <w:rFonts w:ascii="Consolas" w:hAnsi="Consolas"/>
      <w:b/>
      <w:color w:val="007020"/>
      <w:sz w:val="22"/>
    </w:rPr>
  </w:style>
  <w:style w:type="paragraph" w:styleId="FunctionTok1" w:customStyle="1">
    <w:name w:val="FunctionTok"/>
    <w:basedOn w:val="SourceCode1"/>
    <w:qFormat/>
    <w:pPr/>
    <w:rPr>
      <w:rFonts w:ascii="Consolas" w:hAnsi="Consolas"/>
      <w:color w:val="06287E"/>
      <w:sz w:val="22"/>
    </w:rPr>
  </w:style>
  <w:style w:type="paragraph" w:styleId="CommentVarTok1" w:customStyle="1">
    <w:name w:val="CommentVarTok"/>
    <w:basedOn w:val="SourceCode1"/>
    <w:qFormat/>
    <w:pPr/>
    <w:rPr>
      <w:rFonts w:ascii="Consolas" w:hAnsi="Consolas"/>
      <w:b/>
      <w:i/>
      <w:color w:val="60A0B0"/>
      <w:sz w:val="22"/>
    </w:rPr>
  </w:style>
  <w:style w:type="paragraph" w:styleId="Style31" w:customStyle="1">
    <w:name w:val="Название объекта Знак"/>
    <w:basedOn w:val="119"/>
    <w:qFormat/>
    <w:pPr/>
    <w:rPr/>
  </w:style>
  <w:style w:type="paragraph" w:styleId="Abstract1" w:customStyle="1">
    <w:name w:val="Abstract"/>
    <w:basedOn w:val="Normal"/>
    <w:next w:val="Style19"/>
    <w:qFormat/>
    <w:pPr>
      <w:keepNext w:val="true"/>
      <w:keepLines/>
      <w:spacing w:before="300" w:after="300"/>
    </w:pPr>
    <w:rPr>
      <w:sz w:val="20"/>
    </w:rPr>
  </w:style>
  <w:style w:type="paragraph" w:styleId="StringTok1" w:customStyle="1">
    <w:name w:val="StringTok"/>
    <w:basedOn w:val="SourceCode1"/>
    <w:qFormat/>
    <w:pPr/>
    <w:rPr>
      <w:rFonts w:ascii="Consolas" w:hAnsi="Consolas"/>
      <w:color w:val="4070A0"/>
      <w:sz w:val="22"/>
    </w:rPr>
  </w:style>
  <w:style w:type="paragraph" w:styleId="ExtensionTok1" w:customStyle="1">
    <w:name w:val="ExtensionTok"/>
    <w:basedOn w:val="SourceCode1"/>
    <w:qFormat/>
    <w:pPr/>
    <w:rPr>
      <w:rFonts w:ascii="Consolas" w:hAnsi="Consolas"/>
      <w:sz w:val="22"/>
    </w:rPr>
  </w:style>
  <w:style w:type="paragraph" w:styleId="32">
    <w:name w:val="TOC 3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CharTok1" w:customStyle="1">
    <w:name w:val="CharTok"/>
    <w:basedOn w:val="SourceCode1"/>
    <w:qFormat/>
    <w:pPr/>
    <w:rPr>
      <w:rFonts w:ascii="Consolas" w:hAnsi="Consolas"/>
      <w:color w:val="4070A0"/>
      <w:sz w:val="22"/>
    </w:rPr>
  </w:style>
  <w:style w:type="paragraph" w:styleId="Compact1" w:customStyle="1">
    <w:name w:val="Compact"/>
    <w:basedOn w:val="Style19"/>
    <w:qFormat/>
    <w:pPr>
      <w:spacing w:before="36" w:after="36"/>
    </w:pPr>
    <w:rPr/>
  </w:style>
  <w:style w:type="paragraph" w:styleId="OtherTok1" w:customStyle="1">
    <w:name w:val="OtherTok"/>
    <w:basedOn w:val="SourceCode1"/>
    <w:qFormat/>
    <w:pPr/>
    <w:rPr>
      <w:rFonts w:ascii="Consolas" w:hAnsi="Consolas"/>
      <w:color w:val="007020"/>
      <w:sz w:val="22"/>
    </w:rPr>
  </w:style>
  <w:style w:type="paragraph" w:styleId="PreprocessorTok1" w:customStyle="1">
    <w:name w:val="PreprocessorTok"/>
    <w:basedOn w:val="SourceCode1"/>
    <w:qFormat/>
    <w:pPr/>
    <w:rPr>
      <w:rFonts w:ascii="Consolas" w:hAnsi="Consolas"/>
      <w:color w:val="BC7A00"/>
      <w:sz w:val="22"/>
    </w:rPr>
  </w:style>
  <w:style w:type="paragraph" w:styleId="AttributeTok1" w:customStyle="1">
    <w:name w:val="AttributeTok"/>
    <w:basedOn w:val="SourceCode1"/>
    <w:qFormat/>
    <w:pPr/>
    <w:rPr>
      <w:rFonts w:ascii="Consolas" w:hAnsi="Consolas"/>
      <w:color w:val="7D9029"/>
      <w:sz w:val="22"/>
    </w:rPr>
  </w:style>
  <w:style w:type="paragraph" w:styleId="Definition" w:customStyle="1">
    <w:name w:val="Definition"/>
    <w:basedOn w:val="Normal"/>
    <w:qFormat/>
    <w:pPr/>
    <w:rPr/>
  </w:style>
  <w:style w:type="paragraph" w:styleId="116" w:customStyle="1">
    <w:name w:val="Знак примечания1"/>
    <w:basedOn w:val="119"/>
    <w:qFormat/>
    <w:pPr/>
    <w:rPr>
      <w:sz w:val="16"/>
    </w:rPr>
  </w:style>
  <w:style w:type="paragraph" w:styleId="Annotationsubject">
    <w:name w:val="annotation subject"/>
    <w:basedOn w:val="Annotationtext"/>
    <w:next w:val="Annotationtext"/>
    <w:qFormat/>
    <w:pPr/>
    <w:rPr>
      <w:b/>
    </w:rPr>
  </w:style>
  <w:style w:type="paragraph" w:styleId="AlertTok1" w:customStyle="1">
    <w:name w:val="AlertTok"/>
    <w:basedOn w:val="SourceCode1"/>
    <w:qFormat/>
    <w:pPr/>
    <w:rPr>
      <w:rFonts w:ascii="Consolas" w:hAnsi="Consolas"/>
      <w:b/>
      <w:color w:val="FF0000"/>
      <w:sz w:val="22"/>
    </w:rPr>
  </w:style>
  <w:style w:type="paragraph" w:styleId="SpecialCharTok1" w:customStyle="1">
    <w:name w:val="SpecialCharTok"/>
    <w:basedOn w:val="SourceCode1"/>
    <w:qFormat/>
    <w:pPr/>
    <w:rPr>
      <w:rFonts w:ascii="Consolas" w:hAnsi="Consolas"/>
      <w:color w:val="4070A0"/>
      <w:sz w:val="22"/>
    </w:rPr>
  </w:style>
  <w:style w:type="paragraph" w:styleId="RegionMarkerTok1" w:customStyle="1">
    <w:name w:val="RegionMarkerTok"/>
    <w:basedOn w:val="SourceCode1"/>
    <w:qFormat/>
    <w:pPr/>
    <w:rPr>
      <w:rFonts w:ascii="Consolas" w:hAnsi="Consolas"/>
      <w:sz w:val="22"/>
    </w:rPr>
  </w:style>
  <w:style w:type="paragraph" w:styleId="VariableTok1" w:customStyle="1">
    <w:name w:val="VariableTok"/>
    <w:basedOn w:val="SourceCode1"/>
    <w:qFormat/>
    <w:pPr/>
    <w:rPr>
      <w:rFonts w:ascii="Consolas" w:hAnsi="Consolas"/>
      <w:color w:val="19177C"/>
      <w:sz w:val="22"/>
    </w:rPr>
  </w:style>
  <w:style w:type="paragraph" w:styleId="WarningTok1" w:customStyle="1">
    <w:name w:val="WarningTok"/>
    <w:basedOn w:val="SourceCode1"/>
    <w:qFormat/>
    <w:pPr/>
    <w:rPr>
      <w:rFonts w:ascii="Consolas" w:hAnsi="Consolas"/>
      <w:b/>
      <w:i/>
      <w:color w:val="60A0B0"/>
      <w:sz w:val="22"/>
    </w:rPr>
  </w:style>
  <w:style w:type="paragraph" w:styleId="117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"/>
    <w:basedOn w:val="Normal"/>
    <w:qFormat/>
    <w:pPr/>
    <w:rPr/>
  </w:style>
  <w:style w:type="paragraph" w:styleId="DefinitionTerm1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118">
    <w:name w:val="TOC 1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Author1" w:customStyle="1">
    <w:name w:val="Author"/>
    <w:next w:val="Style19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Tahoma" w:cs="Droid Sans Devanagari" w:asciiTheme="minorHAnsi"/>
      <w:color w:val="000000"/>
      <w:kern w:val="0"/>
      <w:sz w:val="24"/>
      <w:szCs w:val="20"/>
      <w:lang w:val="ru-RU" w:eastAsia="zh-CN" w:bidi="hi-IN"/>
    </w:rPr>
  </w:style>
  <w:style w:type="paragraph" w:styleId="Style32" w:customStyle="1">
    <w:name w:val="Нижний колонтитул Знак"/>
    <w:basedOn w:val="119"/>
    <w:qFormat/>
    <w:pPr/>
    <w:rPr/>
  </w:style>
  <w:style w:type="paragraph" w:styleId="Bibliography">
    <w:name w:val="Bibliography"/>
    <w:basedOn w:val="Normal"/>
    <w:qFormat/>
    <w:pPr/>
    <w:rPr/>
  </w:style>
  <w:style w:type="paragraph" w:styleId="ImportTok1" w:customStyle="1">
    <w:name w:val="ImportTok"/>
    <w:basedOn w:val="SourceCode1"/>
    <w:qFormat/>
    <w:pPr/>
    <w:rPr>
      <w:rFonts w:ascii="Consolas" w:hAnsi="Consolas"/>
      <w:sz w:val="22"/>
    </w:rPr>
  </w:style>
  <w:style w:type="paragraph" w:styleId="BlockText">
    <w:name w:val="Block Text"/>
    <w:basedOn w:val="Style19"/>
    <w:next w:val="Style19"/>
    <w:qFormat/>
    <w:pPr>
      <w:spacing w:before="100" w:after="100"/>
    </w:pPr>
    <w:rPr>
      <w:rFonts w:ascii="Calibri" w:hAnsi="Calibri" w:asciiTheme="majorHAnsi"/>
      <w:sz w:val="20"/>
    </w:rPr>
  </w:style>
  <w:style w:type="paragraph" w:styleId="ImageCaption1" w:customStyle="1">
    <w:name w:val="Image Caption"/>
    <w:basedOn w:val="Caption"/>
    <w:qFormat/>
    <w:pPr/>
    <w:rPr/>
  </w:style>
  <w:style w:type="paragraph" w:styleId="9">
    <w:name w:val="TOC 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ErrorTok1" w:customStyle="1">
    <w:name w:val="ErrorTok"/>
    <w:basedOn w:val="SourceCode1"/>
    <w:qFormat/>
    <w:pPr/>
    <w:rPr>
      <w:rFonts w:ascii="Consolas" w:hAnsi="Consolas"/>
      <w:b/>
      <w:color w:val="FF0000"/>
      <w:sz w:val="22"/>
    </w:rPr>
  </w:style>
  <w:style w:type="paragraph" w:styleId="Style33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DocumentationTok1" w:customStyle="1">
    <w:name w:val="DocumentationTok"/>
    <w:basedOn w:val="SourceCode1"/>
    <w:qFormat/>
    <w:pPr/>
    <w:rPr>
      <w:rFonts w:ascii="Consolas" w:hAnsi="Consolas"/>
      <w:i/>
      <w:color w:val="BA2121"/>
      <w:sz w:val="22"/>
    </w:rPr>
  </w:style>
  <w:style w:type="paragraph" w:styleId="BaseNTok1" w:customStyle="1">
    <w:name w:val="BaseNTok"/>
    <w:basedOn w:val="SourceCode1"/>
    <w:qFormat/>
    <w:pPr/>
    <w:rPr>
      <w:rFonts w:ascii="Consolas" w:hAnsi="Consolas"/>
      <w:color w:val="40A070"/>
      <w:sz w:val="22"/>
    </w:rPr>
  </w:style>
  <w:style w:type="paragraph" w:styleId="8">
    <w:name w:val="TOC 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CommentTok1" w:customStyle="1">
    <w:name w:val="CommentTok"/>
    <w:basedOn w:val="SourceCode1"/>
    <w:qFormat/>
    <w:pPr/>
    <w:rPr>
      <w:rFonts w:ascii="Consolas" w:hAnsi="Consolas"/>
      <w:i/>
      <w:color w:val="60A0B0"/>
      <w:sz w:val="22"/>
    </w:rPr>
  </w:style>
  <w:style w:type="paragraph" w:styleId="NormalTok1" w:customStyle="1">
    <w:name w:val="NormalTok"/>
    <w:basedOn w:val="SourceCode1"/>
    <w:qFormat/>
    <w:pPr/>
    <w:rPr>
      <w:rFonts w:ascii="Consolas" w:hAnsi="Consolas"/>
      <w:sz w:val="22"/>
    </w:rPr>
  </w:style>
  <w:style w:type="paragraph" w:styleId="52">
    <w:name w:val="TOC 5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DecValTok1" w:customStyle="1">
    <w:name w:val="DecValTok"/>
    <w:basedOn w:val="SourceCode1"/>
    <w:qFormat/>
    <w:pPr/>
    <w:rPr>
      <w:rFonts w:ascii="Consolas" w:hAnsi="Consolas"/>
      <w:color w:val="40A070"/>
      <w:sz w:val="22"/>
    </w:rPr>
  </w:style>
  <w:style w:type="paragraph" w:styleId="SourceCode1" w:customStyle="1">
    <w:name w:val="Source Code"/>
    <w:basedOn w:val="Normal"/>
    <w:qFormat/>
    <w:pPr/>
    <w:rPr/>
  </w:style>
  <w:style w:type="paragraph" w:styleId="119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Style34">
    <w:name w:val="Subtitle"/>
    <w:basedOn w:val="Style35"/>
    <w:next w:val="Style19"/>
    <w:uiPriority w:val="11"/>
    <w:qFormat/>
    <w:pPr>
      <w:spacing w:before="240" w:after="120"/>
    </w:pPr>
    <w:rPr>
      <w:sz w:val="30"/>
    </w:rPr>
  </w:style>
  <w:style w:type="paragraph" w:styleId="Style35">
    <w:name w:val="Title"/>
    <w:basedOn w:val="Normal"/>
    <w:next w:val="Style19"/>
    <w:uiPriority w:val="10"/>
    <w:qFormat/>
    <w:pPr>
      <w:keepNext w:val="true"/>
      <w:keepLines/>
      <w:spacing w:before="480" w:after="240"/>
      <w:jc w:val="center"/>
    </w:pPr>
    <w:rPr>
      <w:rFonts w:ascii="Calibri" w:hAnsi="Calibri" w:asciiTheme="majorHAnsi"/>
      <w:b/>
      <w:color w:val="345A8A" w:themeColor="accent1" w:themeShade="b5"/>
      <w:sz w:val="36"/>
    </w:rPr>
  </w:style>
  <w:style w:type="paragraph" w:styleId="Toc101" w:customStyle="1">
    <w:name w:val="toc 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Cambria" w:hAnsi="Cambria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InformationTok1" w:customStyle="1">
    <w:name w:val="InformationTok"/>
    <w:basedOn w:val="SourceCode1"/>
    <w:qFormat/>
    <w:pPr/>
    <w:rPr>
      <w:rFonts w:ascii="Consolas" w:hAnsi="Consolas"/>
      <w:b/>
      <w:i/>
      <w:color w:val="60A0B0"/>
      <w:sz w:val="22"/>
    </w:rPr>
  </w:style>
  <w:style w:type="paragraph" w:styleId="FootnoteCharacters1" w:customStyle="1">
    <w:name w:val="Footnote Characters"/>
    <w:basedOn w:val="Style31"/>
    <w:qFormat/>
    <w:pPr/>
    <w:rPr>
      <w:vertAlign w:val="superscript"/>
    </w:rPr>
  </w:style>
  <w:style w:type="paragraph" w:styleId="Style3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sed.mintrans.ru/document.card.php?id=20975736&amp;outbox=1&amp;DNSID=wFkNBEAYAqvmvzPwP9S-ISQ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Application>LibreOffice/7.1.7.2$Linux_X86_64 LibreOffice_project/c6a4e3954236145e2acb0b65f68614365aeee33f</Application>
  <AppVersion>15.0000</AppVersion>
  <Pages>7</Pages>
  <Words>1629</Words>
  <Characters>12937</Characters>
  <CharactersWithSpaces>14681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2022-03-09T07:07:00Z</dcterms:created>
  <dc:creator>Денис</dc:creator>
  <dc:description/>
  <dc:language>ru-RU</dc:language>
  <cp:lastModifiedBy/>
  <dcterms:modified xsi:type="dcterms:W3CDTF">2022-07-27T12:09:09Z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