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11 октября 2021 года между Министерством транспорта Российской Федерации и Министерством транспорта Китайской Народной Республики было подписано соглашения о международных автомобильных перевозках опасных грузов. Документ вступил в силу со дня его подписания.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Tahoma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LibreOffice/7.1.7.2$Linux_X86_64 LibreOffice_project/c6a4e3954236145e2acb0b65f68614365aeee33f</Application>
  <AppVersion>15.0000</AppVersion>
  <Pages>1</Pages>
  <Words>32</Words>
  <Characters>228</Characters>
  <CharactersWithSpaces>259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2022-07-21T16:31:02Z</dcterms:created>
  <dc:creator/>
  <dc:description/>
  <dc:language>ru-RU</dc:language>
  <cp:lastModifiedBy/>
  <dcterms:modified xsi:type="dcterms:W3CDTF">2022-07-21T16:32:40Z</dcterms:modified>
  <cp:revision>1</cp:revision>
  <dc:subject/>
  <dc:title/>
</cp:coreProperties>
</file>