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звещение о приеме документов рамках постановления Правительства Российской Федерации от 23 апреля 2022 г. № 745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Прием документов осуществляется на бумажном носителе с приложением электронных копий документов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 29 апреля по 13 мая 2022 г.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b/>
          <w:color w:val="000000" w:themeColor="text1"/>
          <w:sz w:val="28"/>
          <w:szCs w:val="28"/>
          <w:u w:val="none"/>
          <w:lang w:eastAsia="ru-RU"/>
        </w:rPr>
        <w:t>Адрес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109992, г. Москва, ул. Рождественка, д. 1, стр. 1, подъезд  1 Б.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i/>
          <w:color w:val="000000" w:themeColor="text1"/>
          <w:sz w:val="28"/>
          <w:szCs w:val="28"/>
          <w:u w:val="none"/>
          <w:lang w:eastAsia="ru-RU"/>
        </w:rPr>
        <w:t>Время работы Мин</w:t>
      </w:r>
      <w:bookmarkStart w:id="0" w:name="_GoBack"/>
      <w:bookmarkEnd w:id="0"/>
      <w:r>
        <w:rPr>
          <w:rStyle w:val="Style14"/>
          <w:rFonts w:eastAsia="Times New Roman" w:cs="Times New Roman" w:ascii="Times New Roman" w:hAnsi="Times New Roman"/>
          <w:i/>
          <w:color w:val="000000" w:themeColor="text1"/>
          <w:sz w:val="28"/>
          <w:szCs w:val="28"/>
          <w:u w:val="none"/>
          <w:lang w:eastAsia="ru-RU"/>
        </w:rPr>
        <w:t xml:space="preserve">истерства: понедельник – четверг с 9.00 до 18.00, </w:t>
        <w:br/>
        <w:t>пятница с 9.00 до 16.45, кроме субботы, воскресенья и праздничных дней.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b/>
          <w:color w:val="000000" w:themeColor="text1"/>
          <w:sz w:val="28"/>
          <w:szCs w:val="28"/>
          <w:u w:val="none"/>
          <w:lang w:eastAsia="ru-RU"/>
        </w:rPr>
        <w:t>Контактная информация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: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- Довыденко Ирина Владимировна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тел. 8 (499) 459-00-00 доб. 24-63, 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e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-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mail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dovydenkoiv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@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mintrans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.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ru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;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- Жарикова Светлана Викторовна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тел. 8 (499) 459-00-00 доб. 24-14, 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e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-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mail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zharikovasv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@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mintrans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.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ru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;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- Трунина Анастасия Алексеевна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тел. 8 (499) 495-07-59, 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e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-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mail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: 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truninaaa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@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mintrans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eastAsia="ru-RU"/>
        </w:rPr>
        <w:t>.</w:t>
      </w:r>
      <w:r>
        <w:rPr>
          <w:rStyle w:val="Style14"/>
          <w:rFonts w:eastAsia="Times New Roman" w:cs="Times New Roman" w:ascii="Times New Roman" w:hAnsi="Times New Roman"/>
          <w:color w:val="000000" w:themeColor="text1"/>
          <w:sz w:val="28"/>
          <w:szCs w:val="28"/>
          <w:u w:val="none"/>
          <w:lang w:val="en-US" w:eastAsia="ru-RU"/>
        </w:rPr>
        <w:t>ru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color w:val="000000" w:themeColor="text1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8"/>
          <w:szCs w:val="28"/>
          <w:u w:val="none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color w:val="000000" w:themeColor="text1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i/>
          <w:color w:val="000000" w:themeColor="text1"/>
          <w:sz w:val="28"/>
          <w:szCs w:val="28"/>
          <w:u w:val="none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Перечень документов, предоставляемый кредитной организацией</w:t>
        <w:br/>
        <w:t>для участия в механизме льготного кредитования.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/>
          <w:i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В заголовке сопроводительного письма, направляемого с комплектом документов, необходимо указать реквизиты нормативно-правового акта, утверждающего механизм, для участия в котором направляется комплект документов.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76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Заявка на получение субсидии (в свободной форме).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Сведения о государственной регистрации кредитной организации в качестве юридического лица.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Копия лицензии на осуществление банковских операций, выданной Центральным банком Российской Федерации.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4. Заверенные кредитной организацией или нотариально удостоверенные копии учредительных документов кредитной организации.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5. Справка, подписанная уполномоченным лицом кредитной организации, действующим на основании доверенности (далее - уполномоченное лицо кредитной организации), скрепленная печатью (при наличии) кредитной организации, </w:t>
        <w:br/>
        <w:t>с указанием банковских реквизитов и счетов, на которые следует перечислять субсидию.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6. Доверенность уполномоченного лица кредитной организации, удостоверяющая право такого лица на подписание заявки и (или) иных документов на участие кредитной организации в получении субсидии (в случае, если указанные заявка и (или) документы под14 птписаны уполномоченным лицом кредитной организации).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7. Справка, подписанная уполномоченным лицом кредитной организации, скрепленная печатью (при наличии) кредитной организации, подтверждающая, </w:t>
        <w:br/>
        <w:t>что на дату подачи заявки на получение субсидии кредитная организация соответствует следующим критериям: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у кредитной организации на дату не ранее чем за 30 календарных дней </w:t>
        <w:br/>
        <w:t>до дня подачи заявки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о налогах и сборах;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кредитная организация по состоянию на дату не ранее чем за 30 календарных дней до дня подачи заявки не имеет просроченной задолженности по возврату </w:t>
        <w:br/>
        <w:t xml:space="preserve">в федеральный бюджет субсидий, бюджетных инвестиций, предоставленных </w:t>
        <w:br/>
        <w:t>из федерального бюджета в том числе в соответствии с иными правовыми актами Российской Федерации, и иной просроченной (неурегулированной) задолженности по денежным обязательствам перед Российской Федерацией;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кредитная организация не является иностранным юридическим лицом, </w:t>
        <w:br/>
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кредитная организация по состоянию на дату не ранее чем </w:t>
        <w:br/>
        <w:t>за 30 календарных дней до дня подачи заявки не получает средства из федерального бюджета на основании иных нормативных правовых актов на цели, предусмотренные пунктом 1 Правил;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кредитная организация не находится в процессе реорганизации (за исключением реорганизации в форме присоединения к кредитной организации другого юридического лица), ликвидации, в отношении ее не введена процедура банкротства.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8. Сведения о соответствии кредитной организации положениям абзаца девятого пункта 2 Правил.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Дополнительные документы, 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предоставляемые кредитной организацией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9. Реестр потенциальных заемщиков с приложением копий поданных заемщиками заявок на получение средств по кредитным договорам (соглашениям), заверенных в установленном порядке кредитной организацией.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10. Справку, подписанную уполномоченным лицом кредитной организации, скрепленную печатью (при наличии) этой кредитной организации, подтверждающую, что заемщики, включенные в реестр потенциальных заемщиков, представленный в соответствии с пунктом  9 настоящего перечня, соответствуют требованиям, установленным пунктом 7 Правил.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11. Документы, подтверждающие, что заемщик является юридическим лицом, входящим в группу лиц системообразующей организации в соответствии </w:t>
        <w:br/>
        <w:t>с положениями статьи 9 Федерального закона от 26 июля 2006 г. № 135-ФЗ</w:t>
        <w:br/>
        <w:t>«О защите конкуренции» (в случае, если заемщик отсутствует в перечне (перечнях) системообразующих организаций российской экономики).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12. Предварительный план-график ежемесячного остатка ссудной задолженности заемщиков по кредитным договорам (соглашениям) в текущем финансовом году с расчетом прогнозной суммы субсидии, сформированный </w:t>
        <w:br/>
        <w:t>с учетом требований Правил.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center"/>
        <w:rPr/>
      </w:pPr>
      <w:r>
        <w:rPr>
          <w:rStyle w:val="Style14"/>
          <w:rFonts w:eastAsia="Times New Roman" w:cs="Times New Roman" w:ascii="Times New Roman" w:hAnsi="Times New Roman"/>
          <w:b/>
          <w:color w:val="000000" w:themeColor="text1"/>
          <w:sz w:val="28"/>
          <w:szCs w:val="28"/>
          <w:u w:val="none"/>
          <w:lang w:eastAsia="ru-RU"/>
        </w:rPr>
        <w:t>Условия предоставления субсидии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u w:val="none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u w:val="none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b/>
          <w:color w:val="000000" w:themeColor="text1"/>
          <w:sz w:val="28"/>
          <w:szCs w:val="28"/>
          <w:u w:val="none"/>
          <w:lang w:eastAsia="ru-RU"/>
        </w:rPr>
        <w:t>1. Субсидии предоставляются при условии соответствия кредитных договоров (соглашений) следующим условиям: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а) кредитный договор (соглашение) заключен не ранее дня </w:t>
      </w:r>
      <w:hyperlink w:anchor="sub_2">
        <w:r>
          <w:rPr>
            <w:rFonts w:cs="Times New Roman" w:ascii="Times New Roman" w:hAnsi="Times New Roman"/>
            <w:sz w:val="28"/>
            <w:szCs w:val="28"/>
          </w:rPr>
          <w:t>вступления в силу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постановления Правительства Российской Федерации от 23 апреля 2022 г. № 745 «Об утверждении Правил </w:t>
      </w:r>
      <w:r>
        <w:rPr>
          <w:rFonts w:cs="Times New Roman" w:ascii="Times New Roman" w:hAnsi="Times New Roman"/>
          <w:bCs/>
          <w:sz w:val="28"/>
          <w:szCs w:val="28"/>
        </w:rPr>
        <w:t>предоставления субсидий из федерального бюджета российским кредитным организациям на возмещение недополученных ими доходов по кредитам, выданным системообразующим организациям транспортного комплекса и организациям, входящим в группу лиц системообразующей организации транспортного комплекса»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052"/>
      <w:bookmarkStart w:id="2" w:name="sub_10511"/>
      <w:bookmarkEnd w:id="1"/>
      <w:bookmarkEnd w:id="2"/>
      <w:r>
        <w:rPr>
          <w:rFonts w:cs="Times New Roman" w:ascii="Times New Roman" w:hAnsi="Times New Roman"/>
          <w:sz w:val="28"/>
          <w:szCs w:val="28"/>
        </w:rPr>
        <w:t>б) условия кредитного договора (соглашения) предусматривают установление льготной процентной ставки на период льготного кредитования;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53"/>
      <w:bookmarkStart w:id="4" w:name="sub_10521"/>
      <w:bookmarkEnd w:id="3"/>
      <w:bookmarkEnd w:id="4"/>
      <w:r>
        <w:rPr>
          <w:rFonts w:cs="Times New Roman" w:ascii="Times New Roman" w:hAnsi="Times New Roman"/>
          <w:sz w:val="28"/>
          <w:szCs w:val="28"/>
        </w:rPr>
        <w:t xml:space="preserve">в) кредитный договор (соглашение) содержит условие, в соответствии </w:t>
        <w:br/>
        <w:t>с которым предоставленные заемщику средства не могут быть размещены</w:t>
        <w:br/>
        <w:t>на депозитах, а также в иных финансовых инструментах, продажа или передача которых обеспечивает получение денежных средств (ценные бумаги, денежные обязательства, фьючерсы, опционы, прочие финансовые инструменты);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54"/>
      <w:bookmarkStart w:id="6" w:name="sub_10531"/>
      <w:bookmarkEnd w:id="5"/>
      <w:bookmarkEnd w:id="6"/>
      <w:r>
        <w:rPr>
          <w:rFonts w:cs="Times New Roman" w:ascii="Times New Roman" w:hAnsi="Times New Roman"/>
          <w:sz w:val="28"/>
          <w:szCs w:val="28"/>
        </w:rPr>
        <w:t xml:space="preserve">г) кредитный договор (соглашение) не предусматривает взимания </w:t>
        <w:br/>
        <w:t xml:space="preserve">с заемщика в течение периода действия кредитного договора (соглашения) комиссий и сборов, иных платежей, за исключением платы </w:t>
        <w:br/>
        <w:t>за пользование лимитом кредитной линии (за резервирование кредитной линии), взимаемой за не использованный заемщиком остаток лимита кредитной линии, комиссии за досрочное погашение в размере не более 1,5 процента досрочно погашаемой суммы по кредитному договору (соглашению), а также штрафных санкций в случае неисполнения заемщиком условий кредитного договора (соглашения);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055"/>
      <w:bookmarkStart w:id="8" w:name="sub_10541"/>
      <w:bookmarkEnd w:id="7"/>
      <w:bookmarkEnd w:id="8"/>
      <w:r>
        <w:rPr>
          <w:rFonts w:cs="Times New Roman" w:ascii="Times New Roman" w:hAnsi="Times New Roman"/>
          <w:sz w:val="28"/>
          <w:szCs w:val="28"/>
        </w:rPr>
        <w:t>д) кредитный договор (соглашение) предусматривает получение заемщиком кредита в рублях, размер которого не превышает максимального значения, рассчитанного в соответствии с пунктом 3 Правил,</w:t>
      </w:r>
      <w:r>
        <w:rPr>
          <w:rFonts w:eastAsia="Calibri" w:cs="Times New Roman" w:ascii="Times New Roman" w:hAnsi="Times New Roman"/>
          <w:sz w:val="28"/>
          <w:szCs w:val="28"/>
        </w:rPr>
        <w:t xml:space="preserve"> при этом:</w:t>
      </w:r>
    </w:p>
    <w:p>
      <w:pPr>
        <w:pStyle w:val="Normal"/>
        <w:suppressAutoHyphens w:val="true"/>
        <w:spacing w:lineRule="auto" w:line="276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для заемщика, являющегося юридическим лицом, входящим </w:t>
        <w:br/>
        <w:t xml:space="preserve">в группу лиц системообразующей организации, не превышает </w:t>
        <w:br/>
        <w:t xml:space="preserve">10 млрд. рублей; </w:t>
      </w:r>
    </w:p>
    <w:p>
      <w:pPr>
        <w:pStyle w:val="Normal"/>
        <w:suppressAutoHyphens w:val="true"/>
        <w:spacing w:lineRule="auto" w:line="276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заемщика, являющегося системообразующей организацией, не превышает 30 млрд. рублей;</w:t>
      </w:r>
    </w:p>
    <w:p>
      <w:pPr>
        <w:pStyle w:val="Normal"/>
        <w:suppressAutoHyphens w:val="true"/>
        <w:spacing w:lineRule="auto" w:line="276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для группы лиц одной системообразующей организации (включая эту системообразующую организацию) не превышает 30 млрд. рублей, если иное </w:t>
        <w:br/>
        <w:t>не предусмотрено решением Правительства Российской Федерации;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56"/>
      <w:bookmarkStart w:id="10" w:name="sub_10551"/>
      <w:bookmarkEnd w:id="9"/>
      <w:bookmarkEnd w:id="10"/>
      <w:r>
        <w:rPr>
          <w:rFonts w:cs="Times New Roman" w:ascii="Times New Roman" w:hAnsi="Times New Roman"/>
          <w:sz w:val="28"/>
          <w:szCs w:val="28"/>
        </w:rPr>
        <w:t>е) кредитный договор (соглашение) предусматривает получение заемщиком кредита по льготной процентной ставке;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sub_1057"/>
      <w:bookmarkStart w:id="12" w:name="sub_10561"/>
      <w:bookmarkEnd w:id="11"/>
      <w:bookmarkEnd w:id="12"/>
      <w:r>
        <w:rPr>
          <w:rFonts w:cs="Times New Roman" w:ascii="Times New Roman" w:hAnsi="Times New Roman"/>
          <w:sz w:val="28"/>
          <w:szCs w:val="28"/>
        </w:rPr>
        <w:t xml:space="preserve">ж) кредитный договор (соглашение) содержит условие о запрете </w:t>
        <w:br/>
        <w:t xml:space="preserve">на объявление и выплату дивидендов (распределение прибыли) заемщиком </w:t>
        <w:br/>
        <w:t xml:space="preserve">из средств, полученных в рамках кредитного договора (соглашения) </w:t>
        <w:br/>
        <w:t xml:space="preserve">по льготной процентной ставке в соответствии с настоящими Правилами </w:t>
        <w:br/>
        <w:t>в течение действия кредитного договора (соглашения).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2. Субсидия предоставляется при условии соответствия заемщиков </w:t>
        <w:br/>
        <w:t>в период действия кредитного договора (соглашения) следующим условиям:</w:t>
      </w:r>
    </w:p>
    <w:p>
      <w:pPr>
        <w:pStyle w:val="Normal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а) заемщик не является субъектом малого или среднего предпринимательства согласно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Федеральному закону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24 июля 2007 г. № 209-ФЗ «О развитии малого </w:t>
        <w:br/>
        <w:t>и среднего предпринимательства в Российской Федерации»;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sub_1072"/>
      <w:bookmarkStart w:id="14" w:name="sub_10711"/>
      <w:bookmarkEnd w:id="13"/>
      <w:bookmarkEnd w:id="14"/>
      <w:r>
        <w:rPr>
          <w:rFonts w:cs="Times New Roman" w:ascii="Times New Roman" w:hAnsi="Times New Roman"/>
          <w:sz w:val="28"/>
          <w:szCs w:val="28"/>
        </w:rPr>
        <w:t>б) заемщик обладает статусом налогового резидента Российской Федерации;</w:t>
      </w:r>
    </w:p>
    <w:p>
      <w:pPr>
        <w:pStyle w:val="Normal"/>
        <w:spacing w:lineRule="auto" w:line="276" w:before="0" w:after="0"/>
        <w:ind w:firstLine="709"/>
        <w:jc w:val="both"/>
        <w:rPr/>
      </w:pPr>
      <w:bookmarkStart w:id="15" w:name="sub_1073"/>
      <w:bookmarkStart w:id="16" w:name="sub_10721"/>
      <w:bookmarkEnd w:id="15"/>
      <w:bookmarkEnd w:id="16"/>
      <w:r>
        <w:rPr>
          <w:rFonts w:cs="Times New Roman" w:ascii="Times New Roman" w:hAnsi="Times New Roman"/>
          <w:sz w:val="28"/>
          <w:szCs w:val="28"/>
        </w:rPr>
        <w:t xml:space="preserve">в) заемщик не находится в процессе реорганизации (за исключением реорганизации в форме присоединения к заемщику другого юридического лица </w:t>
        <w:br/>
        <w:t xml:space="preserve">или преобразования при условии сохранения заемщиком статуса системообразующей организации или юридического лица, входящего в группу лиц такой организации в соответствии с положениями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статьи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26 июля 2006 г. № 135-ФЗ «О защите конкуренции»), ликвидации, не является организацией, приостановившей деятельность на территории Российской Федерации;</w:t>
      </w:r>
    </w:p>
    <w:p>
      <w:pPr>
        <w:pStyle w:val="Normal"/>
        <w:spacing w:lineRule="auto" w:line="276" w:before="0" w:after="0"/>
        <w:ind w:firstLine="709"/>
        <w:jc w:val="both"/>
        <w:rPr/>
      </w:pPr>
      <w:bookmarkStart w:id="17" w:name="sub_1074"/>
      <w:bookmarkStart w:id="18" w:name="sub_10731"/>
      <w:bookmarkEnd w:id="17"/>
      <w:bookmarkEnd w:id="18"/>
      <w:r>
        <w:rPr>
          <w:rFonts w:cs="Times New Roman" w:ascii="Times New Roman" w:hAnsi="Times New Roman"/>
          <w:sz w:val="28"/>
          <w:szCs w:val="28"/>
        </w:rPr>
        <w:t xml:space="preserve">г) в отношении заемщика не возбуждено производство по делу </w:t>
        <w:br/>
        <w:t xml:space="preserve">о несостоятельности (банкротстве) в соответствии с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законодательством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о несостоятельности (банкротстве);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1075"/>
      <w:bookmarkStart w:id="20" w:name="sub_10741"/>
      <w:bookmarkEnd w:id="19"/>
      <w:bookmarkEnd w:id="20"/>
      <w:r>
        <w:rPr>
          <w:rFonts w:cs="Times New Roman" w:ascii="Times New Roman" w:hAnsi="Times New Roman"/>
          <w:sz w:val="28"/>
          <w:szCs w:val="28"/>
        </w:rPr>
        <w:t xml:space="preserve">д) заемщик в период с даты заключения кредитного договора (соглашения) </w:t>
        <w:br/>
        <w:t>не имел просроченных на срок свыше 90 календарных дней платежей, направленных на исполнение обязательств заемщика по кредитным договорам, договорам поручительства, требований по возмещению заемщиком гаранту выплаченных в соответствии с условиями банковской гарантии денежных сумм (положительная кредитная история);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1076"/>
      <w:bookmarkStart w:id="22" w:name="sub_10751"/>
      <w:bookmarkEnd w:id="21"/>
      <w:bookmarkEnd w:id="22"/>
      <w:r>
        <w:rPr>
          <w:rFonts w:cs="Times New Roman" w:ascii="Times New Roman" w:hAnsi="Times New Roman"/>
          <w:sz w:val="28"/>
          <w:szCs w:val="28"/>
        </w:rPr>
        <w:t xml:space="preserve">е) заемщик не имеет на дату не ранее чем за 30 календарных дней до дня заключения кредитного договора (соглашения) просроченной задолженности </w:t>
        <w:br/>
        <w:t>по налогам, сборам и иным обязательным платежам в бюджеты бюджетной системы Российской Федерации, превышающей 500 тыс. рублей;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0761"/>
      <w:bookmarkEnd w:id="23"/>
      <w:r>
        <w:rPr>
          <w:rFonts w:cs="Times New Roman" w:ascii="Times New Roman" w:hAnsi="Times New Roman"/>
          <w:sz w:val="28"/>
          <w:szCs w:val="28"/>
        </w:rPr>
        <w:t>ж) заемщик обязуется на период действия кредитного договора (соглашения) сохранять численность работников в размере не менее 85 процентов численности работников по отношению к 1-му числу месяца, предшествующего дате заключения кредитного договора (соглашения);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078"/>
      <w:bookmarkEnd w:id="24"/>
      <w:r>
        <w:rPr>
          <w:rFonts w:cs="Times New Roman" w:ascii="Times New Roman" w:hAnsi="Times New Roman"/>
          <w:sz w:val="28"/>
          <w:szCs w:val="28"/>
        </w:rPr>
        <w:t>з) суммарный объем кредитов одного заемщика, по которым применяется льготная процентная ставка, не превышает значений, установленных подпунктом «д» пункта 8 Правил;</w:t>
      </w:r>
    </w:p>
    <w:p>
      <w:pPr>
        <w:pStyle w:val="Normal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710"/>
      <w:bookmarkStart w:id="26" w:name="sub_10781"/>
      <w:bookmarkEnd w:id="25"/>
      <w:bookmarkEnd w:id="26"/>
      <w:r>
        <w:rPr>
          <w:rFonts w:cs="Times New Roman" w:ascii="Times New Roman" w:hAnsi="Times New Roman"/>
          <w:sz w:val="28"/>
          <w:szCs w:val="28"/>
        </w:rPr>
        <w:t xml:space="preserve">и) в реестре дисквалифицированных лиц отсутствуют сведения </w:t>
        <w:br/>
        <w:t>о дисквалифицированном руководителе заемщика;</w:t>
      </w:r>
    </w:p>
    <w:p>
      <w:pPr>
        <w:pStyle w:val="Normal"/>
        <w:suppressAutoHyphens w:val="true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к) имеются подтверждение, что на дату заключения кредитного договора (соглашения) заемщиком представлена отчетность за последний отчетный период</w:t>
        <w:br/>
        <w:t xml:space="preserve">о финансово-экономическом состоянии в части рисков нарушения операционной деятельности в условиях санкционного давления в соответствии с порядком проведения мониторинга финансово-экономического состояния системообразующих организаций российской экономики, утвержденным Министерством экономического развития Российской Федерации в соответствии </w:t>
        <w:br/>
        <w:t xml:space="preserve">с распоряжением Правительства Российской Федерации от 27 марта 2020 г. </w:t>
        <w:br/>
        <w:t xml:space="preserve">№ 764-р, и обязательство заемщика о представлении указанной отчетности </w:t>
        <w:br/>
        <w:t>за каждый отчетный период в течение действия кредитного договора (соглашения). Для заемщика, являющего юридическим лицом, входящим в группу лиц системообразующей организации, указанное условие считается исполненным при подтверждении его выполнения системообразующей организацией, в группу лиц которой входит такой заемщик;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76" w:before="0" w:after="0"/>
        <w:ind w:left="0" w:right="0"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Допускается заключение заемщиками кредитных договоров (соглашений) с несколькими получателями субсидии при условии соблюдения требований, установленных подпунктом «д» пункта 8 и подпунктом «з» пункта 10 Правил.</w:t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76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Получатель субсидии несет ответственность за комплектность </w:t>
        <w:br/>
        <w:t>и достоверность предоставляемых документов, исполнение положений, утвержденных Правилами, соответствие заемщиков и кредитных договоров (соглашений) требованиям Правил, а также за целевое использование кредитных средств.</w:t>
      </w:r>
    </w:p>
    <w:sectPr>
      <w:headerReference w:type="default" r:id="rId5"/>
      <w:type w:val="nextPage"/>
      <w:pgSz w:w="11906" w:h="16838"/>
      <w:pgMar w:left="1134" w:right="567" w:header="708" w:top="1134" w:footer="0" w:bottom="1134" w:gutter="0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ff2">
    <w:charset w:val="01"/>
    <w:family w:val="roman"/>
    <w:pitch w:val="variable"/>
  </w:font>
  <w:font w:name="ff3">
    <w:charset w:val="01"/>
    <w:family w:val="roman"/>
    <w:pitch w:val="variable"/>
  </w:font>
  <w:font w:name="ff5">
    <w:charset w:val="01"/>
    <w:family w:val="roman"/>
    <w:pitch w:val="variable"/>
  </w:font>
  <w:font w:name="ff7">
    <w:charset w:val="01"/>
    <w:family w:val="roman"/>
    <w:pitch w:val="variable"/>
  </w:font>
  <w:font w:name="ff9">
    <w:charset w:val="01"/>
    <w:family w:val="roman"/>
    <w:pitch w:val="variable"/>
  </w:font>
  <w:font w:name="ffb">
    <w:charset w:val="01"/>
    <w:family w:val="roman"/>
    <w:pitch w:val="variable"/>
  </w:font>
  <w:font w:name="ffd">
    <w:charset w:val="01"/>
    <w:family w:val="roman"/>
    <w:pitch w:val="variable"/>
  </w:font>
  <w:font w:name="ffe">
    <w:charset w:val="01"/>
    <w:family w:val="roman"/>
    <w:pitch w:val="variable"/>
  </w:font>
  <w:font w:name="fff">
    <w:charset w:val="01"/>
    <w:family w:val="roman"/>
    <w:pitch w:val="variable"/>
  </w:font>
  <w:font w:name="ff10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55239621"/>
    </w:sdtPr>
    <w:sdtContent>
      <w:p>
        <w:pPr>
          <w:pStyle w:val="Style2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6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f21" w:customStyle="1">
    <w:name w:val="ff21"/>
    <w:basedOn w:val="DefaultParagraphFont"/>
    <w:qFormat/>
    <w:rsid w:val="00ab7583"/>
    <w:rPr>
      <w:rFonts w:ascii="ff2" w:hAnsi="ff2"/>
      <w:b w:val="false"/>
      <w:bCs w:val="false"/>
      <w:i w:val="false"/>
      <w:iCs w:val="false"/>
    </w:rPr>
  </w:style>
  <w:style w:type="character" w:styleId="Ff31" w:customStyle="1">
    <w:name w:val="ff31"/>
    <w:basedOn w:val="DefaultParagraphFont"/>
    <w:qFormat/>
    <w:rsid w:val="00ab7583"/>
    <w:rPr>
      <w:rFonts w:ascii="ff3" w:hAnsi="ff3"/>
      <w:b w:val="false"/>
      <w:bCs w:val="false"/>
      <w:i w:val="false"/>
      <w:iCs w:val="false"/>
    </w:rPr>
  </w:style>
  <w:style w:type="character" w:styleId="Ff51" w:customStyle="1">
    <w:name w:val="ff51"/>
    <w:basedOn w:val="DefaultParagraphFont"/>
    <w:qFormat/>
    <w:rsid w:val="00ab7583"/>
    <w:rPr>
      <w:rFonts w:ascii="ff5" w:hAnsi="ff5"/>
      <w:b w:val="false"/>
      <w:bCs w:val="false"/>
      <w:i w:val="false"/>
      <w:iCs w:val="false"/>
    </w:rPr>
  </w:style>
  <w:style w:type="character" w:styleId="Ff71" w:customStyle="1">
    <w:name w:val="ff71"/>
    <w:basedOn w:val="DefaultParagraphFont"/>
    <w:qFormat/>
    <w:rsid w:val="00ab7583"/>
    <w:rPr>
      <w:rFonts w:ascii="ff7" w:hAnsi="ff7"/>
      <w:b w:val="false"/>
      <w:bCs w:val="false"/>
      <w:i w:val="false"/>
      <w:iCs w:val="false"/>
    </w:rPr>
  </w:style>
  <w:style w:type="character" w:styleId="Ff91" w:customStyle="1">
    <w:name w:val="ff91"/>
    <w:basedOn w:val="DefaultParagraphFont"/>
    <w:qFormat/>
    <w:rsid w:val="00ab7583"/>
    <w:rPr>
      <w:rFonts w:ascii="ff9" w:hAnsi="ff9"/>
      <w:b w:val="false"/>
      <w:bCs w:val="false"/>
      <w:i w:val="false"/>
      <w:iCs w:val="false"/>
    </w:rPr>
  </w:style>
  <w:style w:type="character" w:styleId="Ffb1" w:customStyle="1">
    <w:name w:val="ffb1"/>
    <w:basedOn w:val="DefaultParagraphFont"/>
    <w:qFormat/>
    <w:rsid w:val="00ab7583"/>
    <w:rPr>
      <w:rFonts w:ascii="ffb" w:hAnsi="ffb"/>
      <w:b w:val="false"/>
      <w:bCs w:val="false"/>
      <w:i w:val="false"/>
      <w:iCs w:val="false"/>
    </w:rPr>
  </w:style>
  <w:style w:type="character" w:styleId="Ffd1" w:customStyle="1">
    <w:name w:val="ffd1"/>
    <w:basedOn w:val="DefaultParagraphFont"/>
    <w:qFormat/>
    <w:rsid w:val="00ab7583"/>
    <w:rPr>
      <w:rFonts w:ascii="ffd" w:hAnsi="ffd"/>
      <w:b w:val="false"/>
      <w:bCs w:val="false"/>
      <w:i w:val="false"/>
      <w:iCs w:val="false"/>
    </w:rPr>
  </w:style>
  <w:style w:type="character" w:styleId="Ffe1" w:customStyle="1">
    <w:name w:val="ffe1"/>
    <w:basedOn w:val="DefaultParagraphFont"/>
    <w:qFormat/>
    <w:rsid w:val="00ab7583"/>
    <w:rPr>
      <w:rFonts w:ascii="ffe" w:hAnsi="ffe"/>
      <w:b w:val="false"/>
      <w:bCs w:val="false"/>
      <w:i w:val="false"/>
      <w:iCs w:val="false"/>
    </w:rPr>
  </w:style>
  <w:style w:type="character" w:styleId="Fff1" w:customStyle="1">
    <w:name w:val="fff1"/>
    <w:basedOn w:val="DefaultParagraphFont"/>
    <w:qFormat/>
    <w:rsid w:val="00ab7583"/>
    <w:rPr>
      <w:rFonts w:ascii="fff" w:hAnsi="fff"/>
      <w:b w:val="false"/>
      <w:bCs w:val="false"/>
      <w:i w:val="false"/>
      <w:iCs w:val="false"/>
    </w:rPr>
  </w:style>
  <w:style w:type="character" w:styleId="Ff101" w:customStyle="1">
    <w:name w:val="ff101"/>
    <w:basedOn w:val="DefaultParagraphFont"/>
    <w:qFormat/>
    <w:rsid w:val="00ab7583"/>
    <w:rPr>
      <w:rFonts w:ascii="ff10" w:hAnsi="ff10"/>
      <w:b w:val="false"/>
      <w:bCs w:val="false"/>
      <w:i w:val="false"/>
      <w:iCs w:val="false"/>
    </w:rPr>
  </w:style>
  <w:style w:type="character" w:styleId="Ls21" w:customStyle="1">
    <w:name w:val="ls21"/>
    <w:basedOn w:val="DefaultParagraphFont"/>
    <w:qFormat/>
    <w:rsid w:val="00ab7583"/>
    <w:rPr>
      <w:spacing w:val="5"/>
    </w:rPr>
  </w:style>
  <w:style w:type="character" w:styleId="Ls51" w:customStyle="1">
    <w:name w:val="ls51"/>
    <w:basedOn w:val="DefaultParagraphFont"/>
    <w:qFormat/>
    <w:rsid w:val="00ab7583"/>
    <w:rPr>
      <w:spacing w:val="5"/>
    </w:rPr>
  </w:style>
  <w:style w:type="character" w:styleId="Ls01" w:customStyle="1">
    <w:name w:val="ls01"/>
    <w:basedOn w:val="DefaultParagraphFont"/>
    <w:qFormat/>
    <w:rsid w:val="00ab7583"/>
    <w:rPr>
      <w:spacing w:val="0"/>
    </w:rPr>
  </w:style>
  <w:style w:type="character" w:styleId="Sc0" w:customStyle="1">
    <w:name w:val="sc0"/>
    <w:basedOn w:val="DefaultParagraphFont"/>
    <w:qFormat/>
    <w:rsid w:val="00ab7583"/>
    <w:rPr/>
  </w:style>
  <w:style w:type="character" w:styleId="Sc1" w:customStyle="1">
    <w:name w:val="sc1"/>
    <w:basedOn w:val="DefaultParagraphFont"/>
    <w:qFormat/>
    <w:rsid w:val="00ab7583"/>
    <w:rPr/>
  </w:style>
  <w:style w:type="character" w:styleId="Fc11" w:customStyle="1">
    <w:name w:val="fc11"/>
    <w:basedOn w:val="DefaultParagraphFont"/>
    <w:qFormat/>
    <w:rsid w:val="00ab7583"/>
    <w:rPr>
      <w:color w:val="0000FF"/>
    </w:rPr>
  </w:style>
  <w:style w:type="character" w:styleId="Lsb1" w:customStyle="1">
    <w:name w:val="lsb1"/>
    <w:basedOn w:val="DefaultParagraphFont"/>
    <w:qFormat/>
    <w:rsid w:val="00ab7583"/>
    <w:rPr>
      <w:spacing w:val="3"/>
    </w:rPr>
  </w:style>
  <w:style w:type="character" w:styleId="Ls71" w:customStyle="1">
    <w:name w:val="ls71"/>
    <w:basedOn w:val="DefaultParagraphFont"/>
    <w:qFormat/>
    <w:rsid w:val="00ab7583"/>
    <w:rPr>
      <w:spacing w:val="6"/>
    </w:rPr>
  </w:style>
  <w:style w:type="character" w:styleId="Fc01" w:customStyle="1">
    <w:name w:val="fc01"/>
    <w:basedOn w:val="DefaultParagraphFont"/>
    <w:qFormat/>
    <w:rsid w:val="00ab7583"/>
    <w:rPr>
      <w:color w:val="000000"/>
    </w:rPr>
  </w:style>
  <w:style w:type="character" w:styleId="Style14">
    <w:name w:val="Интернет-ссылка"/>
    <w:basedOn w:val="DefaultParagraphFont"/>
    <w:uiPriority w:val="99"/>
    <w:unhideWhenUsed/>
    <w:rsid w:val="00455d1d"/>
    <w:rPr>
      <w:color w:val="0563C1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f56263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f56263"/>
    <w:rPr/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f56263"/>
    <w:rPr>
      <w:rFonts w:ascii="Segoe UI" w:hAnsi="Segoe UI" w:cs="Segoe UI"/>
      <w:sz w:val="18"/>
      <w:szCs w:val="18"/>
    </w:rPr>
  </w:style>
  <w:style w:type="character" w:styleId="Style18" w:customStyle="1">
    <w:name w:val="Текст сноски Знак"/>
    <w:basedOn w:val="DefaultParagraphFont"/>
    <w:link w:val="ab"/>
    <w:uiPriority w:val="99"/>
    <w:semiHidden/>
    <w:qFormat/>
    <w:rsid w:val="00d35525"/>
    <w:rPr>
      <w:sz w:val="20"/>
      <w:szCs w:val="20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35525"/>
    <w:rPr>
      <w:vertAlign w:val="superscript"/>
    </w:rPr>
  </w:style>
  <w:style w:type="character" w:styleId="Style20">
    <w:name w:val="Символ сноски"/>
    <w:qFormat/>
    <w:rPr/>
  </w:style>
  <w:style w:type="character" w:styleId="Style21">
    <w:name w:val="Привязка концевой сноски"/>
    <w:rPr>
      <w:vertAlign w:val="superscript"/>
    </w:rPr>
  </w:style>
  <w:style w:type="character" w:styleId="Style22">
    <w:name w:val="Символ концевой сноски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Droid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ab7583"/>
    <w:pPr>
      <w:spacing w:before="0" w:after="160"/>
      <w:ind w:left="720" w:hanging="0"/>
      <w:contextualSpacing/>
    </w:pPr>
    <w:rPr/>
  </w:style>
  <w:style w:type="paragraph" w:styleId="ConsPlusTitle" w:customStyle="1">
    <w:name w:val="ConsPlusTitle"/>
    <w:qFormat/>
    <w:rsid w:val="002a6c31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a6"/>
    <w:uiPriority w:val="99"/>
    <w:unhideWhenUsed/>
    <w:rsid w:val="00f5626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a8"/>
    <w:uiPriority w:val="99"/>
    <w:unhideWhenUsed/>
    <w:rsid w:val="00f5626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f5626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Footnote Text"/>
    <w:basedOn w:val="Normal"/>
    <w:link w:val="ac"/>
    <w:uiPriority w:val="99"/>
    <w:semiHidden/>
    <w:unhideWhenUsed/>
    <w:rsid w:val="00d35525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12154854/31" TargetMode="External"/><Relationship Id="rId3" Type="http://schemas.openxmlformats.org/officeDocument/2006/relationships/hyperlink" Target="http://ivo.garant.ru/document/redirect/12148517/9" TargetMode="External"/><Relationship Id="rId4" Type="http://schemas.openxmlformats.org/officeDocument/2006/relationships/hyperlink" Target="http://ivo.garant.ru/document/redirect/185181/0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DF51-44DD-4083-80F8-CC0D426A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LibreOffice/7.1.7.2$Linux_X86_64 LibreOffice_project/c6a4e3954236145e2acb0b65f68614365aeee33f</Application>
  <AppVersion>15.0000</AppVersion>
  <Pages>6</Pages>
  <Words>1419</Words>
  <Characters>10332</Characters>
  <CharactersWithSpaces>11732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2022-03-22T12:01:00Z</dcterms:created>
  <dc:creator>Соболевский Павел Сергеевич</dc:creator>
  <dc:description/>
  <dc:language>ru-RU</dc:language>
  <cp:lastModifiedBy/>
  <cp:lastPrinted>2022-03-22T12:01:00Z</cp:lastPrinted>
  <dcterms:modified xsi:type="dcterms:W3CDTF">2022-04-28T15:28:38Z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