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11343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060"/>
        <w:gridCol w:w="5282"/>
      </w:tblGrid>
      <w:tr>
        <w:trPr>
          <w:trHeight w:val="1985" w:hRule="atLeast"/>
        </w:trPr>
        <w:tc>
          <w:tcPr>
            <w:tcW w:w="6060" w:type="dxa"/>
            <w:tcBorders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5282" w:type="dxa"/>
            <w:tcBorders/>
          </w:tcPr>
          <w:p>
            <w:pPr>
              <w:pStyle w:val="Normal"/>
              <w:widowControl w:val="false"/>
              <w:jc w:val="center"/>
              <w:rPr>
                <w:sz w:val="28"/>
              </w:rPr>
            </w:pPr>
            <w:r>
              <w:rPr>
                <w:sz w:val="28"/>
              </w:rPr>
              <w:t>УТВЕРЖДАЮ</w:t>
            </w:r>
          </w:p>
          <w:p>
            <w:pPr>
              <w:pStyle w:val="Normal"/>
              <w:widowControl w:val="false"/>
              <w:jc w:val="center"/>
              <w:rPr>
                <w:sz w:val="28"/>
              </w:rPr>
            </w:pPr>
            <w:r>
              <w:rPr>
                <w:sz w:val="28"/>
              </w:rPr>
              <w:t>Министр транспорта</w:t>
            </w:r>
          </w:p>
          <w:p>
            <w:pPr>
              <w:pStyle w:val="Normal"/>
              <w:widowControl w:val="false"/>
              <w:jc w:val="center"/>
              <w:rPr>
                <w:sz w:val="28"/>
              </w:rPr>
            </w:pPr>
            <w:r>
              <w:rPr>
                <w:sz w:val="28"/>
              </w:rPr>
              <w:t>Российской Федерации</w:t>
            </w:r>
          </w:p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8"/>
              </w:rPr>
            </w:pPr>
            <w:r>
              <w:rPr>
                <w:sz w:val="28"/>
              </w:rPr>
              <w:t>____________ В.Г. Савельев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8"/>
              </w:rPr>
              <w:t>«___»____________ 2022 г.</w:t>
            </w:r>
          </w:p>
        </w:tc>
      </w:tr>
    </w:tbl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 xml:space="preserve">ДОКЛАД </w:t>
      </w:r>
    </w:p>
    <w:p>
      <w:pPr>
        <w:pStyle w:val="Normal"/>
        <w:jc w:val="center"/>
        <w:rPr/>
      </w:pPr>
      <w:r>
        <w:rPr>
          <w:b/>
          <w:sz w:val="28"/>
        </w:rPr>
        <w:t>О РЕАЛИЗАЦИИ В 2021 ГОДУ ПЛАНА ДЕЯТЕЛЬНОСТИ МИНИСТЕРСТВА ТРАНСПОРТА РОССИЙСКОЙ ФЕДЕРАЦИИ НА 2019</w:t>
      </w:r>
      <w:r>
        <w:rPr/>
        <w:t>–</w:t>
      </w:r>
      <w:r>
        <w:rPr>
          <w:b/>
          <w:sz w:val="28"/>
        </w:rPr>
        <w:t>2024 ГОДЫ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</w:rPr>
      </w:pPr>
      <w:r>
        <w:rPr>
          <w:b/>
        </w:rPr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Доклад о реализации в 2021 году Плана деятельности Министерства транспорта Российской Федерации на 2019–2024 годы, утвержденного 29 сентября 2019 г. (в редакции от 30 декабря 2021 г.) (далее – План), подготовлен</w:t>
        <w:br/>
        <w:t>в соответствии с Правилами разработки, корректировки, осуществления мониторинга и контроля реализации планов деятельности федеральных органов исполнительной власти, руководство деятельностью которых осуществляет Правительство Российской Федерации, утвержденными постановлением Правительства Российской Федерации от 26 декабря 2015 г. № 1449,</w:t>
        <w:br/>
        <w:t>и Методическими рекомендациями по разработке, корректировке, осуществлению мониторинга и контроля реализации планов деятельности федеральных органов исполнительной власти, руководство деятельностью которых осуществляет Правительство Российской Федерации, утвержденными приказом Минэкономразвития России от 15 февраля 2016 г. № 68.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План включает текстовую часть, содержащую в том числе Публичную декларацию ключевых целей и приоритетных задач Министерства транспорта Российской Федерации на 2021 год (далее – Публичная декларация),</w:t>
        <w:br/>
        <w:t>план-график мероприятий по реализации документов стратегического планирования</w:t>
        <w:br/>
        <w:t>(далее – План-график) и План мероприятий по реализации отдельных поручений</w:t>
        <w:br/>
        <w:t>и планов, ответственность за исполнение (соисполнение) которых закреплена решениями Президента Российской Федерации или Правительства Российской Федерации за Министерством транспорта Российской Федерации</w:t>
        <w:br/>
        <w:t>на 2019–2024 годы.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План-график сформирован на планируемый период до 2024 года и включает</w:t>
        <w:br/>
        <w:t>в табличной форме сведения, структурированные по ключевым направлениям деятельности документов стратегического планирования, в том числе сведения</w:t>
        <w:br/>
        <w:t>о мероприятиях, сроках и планируемых результатах (промежуточных</w:t>
        <w:br/>
        <w:t>и окончательных) по годам их выполнения, ответственных исполнителях или соисполнителях, индикаторах и их плановых значениях (по годам реализации Плана).</w:t>
      </w:r>
    </w:p>
    <w:p>
      <w:pPr>
        <w:pStyle w:val="Normal"/>
        <w:ind w:firstLine="709"/>
        <w:jc w:val="both"/>
        <w:rPr/>
      </w:pPr>
      <w:r>
        <w:rPr>
          <w:sz w:val="28"/>
        </w:rPr>
        <w:t>Выполнение Плана и Публичной декларации в 2021 году было направлено</w:t>
        <w:br/>
        <w:t>на реализацию Указа Президента Российской Федерации от 7 мая 2018 г. № 204</w:t>
        <w:br/>
        <w:t>«О национальных целях и стратегических задачах развития Российской Федерации</w:t>
        <w:br/>
        <w:t>на период до 2024 года», Указа Президента Российской Федерации</w:t>
        <w:br/>
        <w:t>от 21 июля 2020 г. № 474 «О национальных целях развития Российской Федерации</w:t>
        <w:br/>
        <w:t>на период до 2030 года», Общенационального плана действий, обеспечивающих восстановление занятости и доходов населения, рост экономики и долгосрочные структурные изменения в экономике, одобренного на заседании Правительства Российской Федерации 23 сентября 2020 г., Единого плана по достижению национальных целей развития Российской Федерации на период до 2024 года</w:t>
        <w:br/>
        <w:t>и на плановый период до 2030 года, утвержденного распоряжением Правительства Российской Федерации от 1 октября 2021 г. № 2765-р, Транспортной стратегии Российской Федерации на период до 2030 года, утвержденной распоряжением</w:t>
        <w:br/>
        <w:t>Правительства Российской Федерации от 22 ноября 2008 г. № 1734-р (в редакции</w:t>
        <w:br/>
        <w:t>распоряжений Правительства Российской Федерации от 11 июня 2014 г. № 1032-р</w:t>
        <w:br/>
        <w:t>и от 12 мая 2018 г. № 893-р), государственной программы Российской Федерации «Развитие транспортной системы», утвержденной постановлением Правительства Российской Федерации от 20 декабря 2017 г. № 1596, государственной программы Российской Федерации «Социально-экономическое развитие Калининградской области», утвержденной постановлением Правительства Российской Федерации</w:t>
        <w:br/>
        <w:t>от 15 апреля 2014 г. № 311, Государственной программы развития сельского хозяйства и регулирования рынков сельскохозяйственной продукции,</w:t>
        <w:br/>
        <w:t>сырья и продовольствия, утвержденной постановлением Правительства</w:t>
        <w:br/>
        <w:t>Российской Федерации от 14 июля 2012 г. № 717,  государственной программы</w:t>
        <w:br/>
        <w:t>Российской Федерации «Социально-экономическое развитие Республики Крым</w:t>
        <w:br/>
        <w:t>и г. Севастополя» (в части федеральной целевой программы «Социально-экономическое развитие Республики Крым и г. Севастополя до 2025 года»), утвержденной постановлением Правительства Российской Федерации</w:t>
        <w:br/>
        <w:t xml:space="preserve">от 30 января 2019 г. № 63. </w:t>
      </w:r>
    </w:p>
    <w:p>
      <w:pPr>
        <w:pStyle w:val="Normal"/>
        <w:ind w:firstLine="709"/>
        <w:jc w:val="both"/>
        <w:rPr/>
      </w:pPr>
      <w:r>
        <w:rPr>
          <w:sz w:val="28"/>
        </w:rPr>
        <w:t>План учитывает положения уточненных редакций паспортов транспортной части комплексного плана модернизации и расширения магистральной инфраструктуры на период до 2024 года и национального проекта «Безопасные  качественные дороги» (протокол заседания президиума Совета при Президенте Российской Федерации по стратегическому развитию и национальным проектам</w:t>
        <w:br/>
        <w:t>от 1 февраля 2021 г. № 1), ведомственных проектов, ведомственных целевых программ, скорректированных в установленном порядке для обеспечения достижения национальных целей развития Российской Федерации, предусмотренных Указом Президента Российской Федерации от 21 июля 2020 г.</w:t>
        <w:br/>
        <w:t>№ 474.</w:t>
      </w:r>
    </w:p>
    <w:p>
      <w:pPr>
        <w:pStyle w:val="Normal"/>
        <w:ind w:firstLine="709"/>
        <w:jc w:val="both"/>
        <w:rPr/>
      </w:pPr>
      <w:r>
        <w:rPr>
          <w:sz w:val="28"/>
        </w:rPr>
        <w:t>Необходимо отметить, что в настоящее время в связи с утверждением Транспортной стратегии Российской Федерации до 2030 года с прогнозом на период до 2035 года будет осуществлена разработка плана ее реализации и генеральной схемы развития Единой опорной транспортной сети Российской Федерации.</w:t>
      </w:r>
    </w:p>
    <w:p>
      <w:pPr>
        <w:pStyle w:val="Normal"/>
        <w:ind w:firstLine="709"/>
        <w:jc w:val="both"/>
        <w:rPr/>
      </w:pPr>
      <w:r>
        <w:rPr>
          <w:sz w:val="28"/>
        </w:rPr>
        <w:t>Актуализация государственной программы Российской Федерации «Развитие транспортной системы» осуществляется в соответствии со статьей 179 Бюджетного кодекса Российской Федерации, постановлением Правительства Российской Федерации от 26 мая 2021 г. № 786 «О системе управления государственными программами Российской Федерации», а также Методическими рекомендациями</w:t>
        <w:br/>
        <w:t>по разработке и реализации государственных программ Российской Федерации, утвержденными приказом Минэкономразвития России от 17 августа 2021 г. № 500.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Реализация Плана и Публичной декларации направлена на достижение общественно значимых целей деятельности Правительства Российской Федерации</w:t>
        <w:br/>
        <w:t>в рамках компетенции Минтранса России.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center"/>
        <w:rPr/>
      </w:pPr>
      <w:r>
        <w:rPr>
          <w:b/>
          <w:sz w:val="28"/>
        </w:rPr>
        <w:t xml:space="preserve">ИТОГИ РЕАЛИЗАЦИИ ПУБЛИЧНОЙ ДЕКЛАРАЦИИ КЛЮЧЕВЫХ ЦЕЛЕЙ И ПРИОРИТЕТНЫХ ЗАДАЧ МИНИСТЕРСТВА ТРАНСПОРТА РОССИЙСКОЙ ФЕДЕРАЦИИ НА 2021 ГОД 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/>
      </w:pPr>
      <w:r>
        <w:rPr>
          <w:sz w:val="28"/>
        </w:rPr>
        <w:t>Публичная декларация в 2021 году реализована в целом успешно – плановые значения достигнуты или превышены по 30 показателям (установлено 37), выполнено 9 мероприятий (установлено 10), направленных на достижение поставленных целей.</w:t>
      </w:r>
    </w:p>
    <w:p>
      <w:pPr>
        <w:pStyle w:val="Normal"/>
        <w:spacing w:before="0" w:after="0"/>
        <w:ind w:firstLine="567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tabs>
          <w:tab w:val="clear" w:pos="708"/>
          <w:tab w:val="left" w:pos="180" w:leader="none"/>
        </w:tabs>
        <w:jc w:val="center"/>
        <w:rPr/>
      </w:pPr>
      <w:r>
        <w:rPr>
          <w:b/>
          <w:sz w:val="28"/>
        </w:rPr>
        <w:t>ЦЕЛЬ 1. ПОВЫШЕНИЕ МОБИЛЬНОСТИ НАСЕЛЕНИЯ</w:t>
      </w:r>
    </w:p>
    <w:p>
      <w:pPr>
        <w:pStyle w:val="Normal"/>
        <w:tabs>
          <w:tab w:val="clear" w:pos="708"/>
          <w:tab w:val="left" w:pos="180" w:leader="none"/>
        </w:tabs>
        <w:ind w:firstLine="567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firstLine="709"/>
        <w:jc w:val="both"/>
        <w:rPr>
          <w:b/>
          <w:b/>
          <w:sz w:val="28"/>
        </w:rPr>
      </w:pPr>
      <w:r>
        <w:rPr>
          <w:b/>
          <w:sz w:val="28"/>
        </w:rPr>
        <w:t>Результаты решения задач в 2021 году: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</w:rPr>
      </w:pPr>
      <w:r>
        <w:rPr>
          <w:rFonts w:cs="Times New Roman" w:ascii="Times New Roman" w:hAnsi="Times New Roman"/>
          <w:color w:val="auto"/>
          <w:sz w:val="28"/>
        </w:rPr>
        <w:t>транспортная подвижность населения на уровне 8 тыс. пасс.-км</w:t>
        <w:br/>
        <w:t xml:space="preserve">на 1 человека (план − 8 тыс. пасс.-км на 1 человека), в том числе на транспорте общего пользования – </w:t>
      </w:r>
      <w:r>
        <w:rPr>
          <w:rFonts w:cs="Times New Roman" w:ascii="Times New Roman" w:hAnsi="Times New Roman"/>
          <w:sz w:val="28"/>
        </w:rPr>
        <w:t xml:space="preserve">3,4 тыс. </w:t>
      </w:r>
      <w:r>
        <w:rPr>
          <w:rFonts w:cs="Times New Roman" w:ascii="Times New Roman" w:hAnsi="Times New Roman"/>
          <w:color w:val="auto"/>
          <w:sz w:val="28"/>
        </w:rPr>
        <w:t>пасс.-км на 1 человека</w:t>
      </w:r>
      <w:r>
        <w:rPr>
          <w:rStyle w:val="Style16"/>
          <w:rFonts w:cs="Times New Roman" w:ascii="Times New Roman" w:hAnsi="Times New Roman"/>
          <w:color w:val="auto"/>
          <w:sz w:val="28"/>
        </w:rPr>
        <w:footnoteReference w:id="2"/>
      </w:r>
      <w:r>
        <w:rPr>
          <w:rFonts w:cs="Times New Roman" w:ascii="Times New Roman" w:hAnsi="Times New Roman"/>
          <w:color w:val="auto"/>
          <w:sz w:val="28"/>
        </w:rPr>
        <w:t xml:space="preserve"> (план − 3,9 тыс. пасс.-км</w:t>
        <w:br/>
        <w:t>на 1 человека);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</w:rPr>
      </w:pPr>
      <w:r>
        <w:rPr>
          <w:rFonts w:cs="Times New Roman" w:ascii="Times New Roman" w:hAnsi="Times New Roman"/>
          <w:color w:val="auto"/>
          <w:sz w:val="28"/>
        </w:rPr>
        <w:t>обновление подвижного состава наземного городского пассажирского транспорта в количестве 477 единиц (план − 477 единиц) в рамках национального проекта «Безопасные качественные дороги»;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</w:rPr>
      </w:pPr>
      <w:r>
        <w:rPr>
          <w:rFonts w:cs="Times New Roman" w:ascii="Times New Roman" w:hAnsi="Times New Roman"/>
          <w:color w:val="auto"/>
          <w:sz w:val="28"/>
        </w:rPr>
        <w:t>обновление парка пассажирских вагонов для перевозок в дальнем следовании в количестве 477 единиц (план − не менее 277 единиц) (в том числе двухэтажных вагонов − 131 (план − 131 двухэтажный), парка моторвагонного подвижного состава для пригородного сообщения – 505 единиц (план − не менее</w:t>
        <w:br/>
        <w:t>445 единиц), в том числе электропоездов «Ласточка» – 145 единиц</w:t>
        <w:br/>
        <w:t>(план − 150 единиц);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</w:rPr>
      </w:pPr>
      <w:r>
        <w:rPr>
          <w:rFonts w:cs="Times New Roman" w:ascii="Times New Roman" w:hAnsi="Times New Roman"/>
          <w:color w:val="auto"/>
          <w:sz w:val="28"/>
        </w:rPr>
        <w:t>транспортная подвижность населения на железнодорожном транспорте</w:t>
        <w:br/>
        <w:t>в объеме 712,9 пасс.-км на 1 человека</w:t>
      </w:r>
      <w:r>
        <w:rPr>
          <w:rFonts w:cs="Times New Roman" w:ascii="Times New Roman" w:hAnsi="Times New Roman"/>
          <w:color w:val="auto"/>
          <w:sz w:val="28"/>
          <w:vertAlign w:val="superscript"/>
        </w:rPr>
        <w:t>1</w:t>
      </w:r>
      <w:r>
        <w:rPr>
          <w:rFonts w:cs="Times New Roman" w:ascii="Times New Roman" w:hAnsi="Times New Roman"/>
          <w:color w:val="auto"/>
          <w:sz w:val="28"/>
        </w:rPr>
        <w:t xml:space="preserve"> (план − 878 пасс.-км на 1 человека в год);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</w:rPr>
      </w:pPr>
      <w:r>
        <w:rPr>
          <w:rFonts w:cs="Times New Roman" w:ascii="Times New Roman" w:hAnsi="Times New Roman"/>
          <w:color w:val="auto"/>
          <w:sz w:val="28"/>
        </w:rPr>
        <w:t>пассажиропоток в железнодорожном сообщении для ключевых направлений Центрального транспортного узла – 706,9 млн. человек (план −</w:t>
        <w:br/>
        <w:t>672,1 млн. человек);</w:t>
      </w:r>
    </w:p>
    <w:p>
      <w:pPr>
        <w:pStyle w:val="ListParagraph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</w:rPr>
      </w:pPr>
      <w:r>
        <w:rPr>
          <w:rFonts w:cs="Times New Roman" w:ascii="Times New Roman" w:hAnsi="Times New Roman"/>
          <w:color w:val="auto"/>
          <w:sz w:val="28"/>
        </w:rPr>
        <w:t>количество отправленных пассажиров в дальнем следовании составило</w:t>
        <w:br/>
        <w:t>91,9 млн. человек</w:t>
      </w:r>
      <w:r>
        <w:rPr>
          <w:rFonts w:cs="Times New Roman" w:ascii="Times New Roman" w:hAnsi="Times New Roman"/>
          <w:color w:val="auto"/>
          <w:sz w:val="28"/>
          <w:vertAlign w:val="superscript"/>
        </w:rPr>
        <w:t>1</w:t>
      </w:r>
      <w:r>
        <w:rPr>
          <w:rFonts w:cs="Times New Roman" w:ascii="Times New Roman" w:hAnsi="Times New Roman"/>
          <w:color w:val="auto"/>
          <w:sz w:val="28"/>
        </w:rPr>
        <w:t xml:space="preserve"> (план − 128,7 млн. человек), в том числе в регулируемом государственном секторе – 49,06 млн. человек</w:t>
      </w:r>
      <w:r>
        <w:rPr>
          <w:rFonts w:cs="Times New Roman" w:ascii="Times New Roman" w:hAnsi="Times New Roman"/>
          <w:color w:val="auto"/>
          <w:sz w:val="28"/>
          <w:vertAlign w:val="superscript"/>
        </w:rPr>
        <w:t>1</w:t>
      </w:r>
      <w:r>
        <w:rPr>
          <w:rFonts w:cs="Times New Roman" w:ascii="Times New Roman" w:hAnsi="Times New Roman"/>
          <w:color w:val="auto"/>
          <w:sz w:val="28"/>
        </w:rPr>
        <w:t xml:space="preserve"> (план − 59 млн. человек); </w:t>
      </w:r>
    </w:p>
    <w:p>
      <w:pPr>
        <w:pStyle w:val="ListParagraph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</w:rPr>
      </w:pPr>
      <w:r>
        <w:rPr>
          <w:rFonts w:cs="Times New Roman" w:ascii="Times New Roman" w:hAnsi="Times New Roman"/>
          <w:color w:val="auto"/>
          <w:sz w:val="28"/>
        </w:rPr>
        <w:t>доля межрегиональных регулярных пассажирских авиационных рейсов (маршрутов), минуя г. Москву, на уровне 46,3 % (план − 44 </w:t>
      </w:r>
      <w:r>
        <w:rPr>
          <w:rFonts w:cs="Times New Roman" w:ascii="Times New Roman" w:hAnsi="Times New Roman"/>
          <w:color w:val="auto"/>
          <w:sz w:val="28"/>
          <w:szCs w:val="28"/>
        </w:rPr>
        <w:t>%</w:t>
      </w:r>
      <w:r>
        <w:rPr>
          <w:rFonts w:cs="Times New Roman" w:ascii="Times New Roman" w:hAnsi="Times New Roman"/>
          <w:color w:val="auto"/>
          <w:sz w:val="28"/>
        </w:rPr>
        <w:t>) от общего количества внутренних регулярных маршрутов;</w:t>
      </w:r>
    </w:p>
    <w:p>
      <w:pPr>
        <w:pStyle w:val="ListParagraph"/>
        <w:widowControl w:val="false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</w:rPr>
      </w:pPr>
      <w:r>
        <w:rPr>
          <w:rFonts w:cs="Times New Roman" w:ascii="Times New Roman" w:hAnsi="Times New Roman"/>
          <w:color w:val="auto"/>
          <w:sz w:val="28"/>
        </w:rPr>
        <w:t>47 213 субсидированных региональных регулярных авиационных рейсов (план − 46445 субсидированных региональных регулярных авиационных рейсов) (выполняемых не менее чем по 175 маршрутам внутренних воздушных линий);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0"/>
        <w:ind w:left="0" w:firstLine="709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auto"/>
          <w:sz w:val="28"/>
        </w:rPr>
        <w:t>завершение создания Дальневосточной региональной авиакомпании.</w:t>
      </w:r>
    </w:p>
    <w:p>
      <w:pPr>
        <w:pStyle w:val="Normal"/>
        <w:spacing w:before="0" w:after="0"/>
        <w:ind w:firstLine="709"/>
        <w:contextualSpacing/>
        <w:jc w:val="both"/>
        <w:rPr/>
      </w:pPr>
      <w:r>
        <w:rPr>
          <w:color w:val="auto"/>
          <w:sz w:val="28"/>
        </w:rPr>
        <w:t>Совместно с субъектами Российской Федерации, расположенными</w:t>
        <w:br/>
        <w:t xml:space="preserve">на территории Дальневосточного федерального округа, сформирована маршрутная сеть,  состоящая  из  535  маршрутов (из них 469 местных, 66 региональных), которые будут осваиваться поэтапно в период 2021–2025 годов. </w:t>
      </w:r>
    </w:p>
    <w:p>
      <w:pPr>
        <w:pStyle w:val="Normal"/>
        <w:spacing w:before="0" w:after="200"/>
        <w:ind w:firstLine="709"/>
        <w:contextualSpacing/>
        <w:jc w:val="both"/>
        <w:rPr/>
      </w:pPr>
      <w:r>
        <w:rPr>
          <w:color w:val="auto"/>
          <w:sz w:val="28"/>
        </w:rPr>
        <w:t>Постановлением Правительства Российской Федерации от 13 июля 2021 г.</w:t>
        <w:br/>
        <w:t xml:space="preserve">№ 1172 утверждены Правила предоставления субсидий из федерального бюджета организациям воздушного транспорта на осуществление перевозок по социально значимым маршрутам Дальневосточного федерального округа. </w:t>
      </w:r>
    </w:p>
    <w:p>
      <w:pPr>
        <w:pStyle w:val="Normal"/>
        <w:spacing w:before="0" w:after="0"/>
        <w:ind w:firstLine="709"/>
        <w:contextualSpacing/>
        <w:jc w:val="both"/>
        <w:rPr>
          <w:rFonts w:cs="Times New Roman"/>
          <w:color w:val="auto"/>
          <w:sz w:val="28"/>
        </w:rPr>
      </w:pPr>
      <w:r>
        <w:rPr>
          <w:color w:val="auto"/>
          <w:sz w:val="28"/>
        </w:rPr>
        <w:t>Первые рейсы в рамках Дальневосточной региональной авиакомпании были осуществлены 26 июля 2021 г. по новым маршрутам Хабаровск – Шахтерск</w:t>
        <w:br/>
        <w:t>и Южно-Сахалинск – Петропавловск-Камчатский. Запущены новые рейсы</w:t>
        <w:br/>
        <w:t>из г. Комсомольска-на-Амуре в г.</w:t>
      </w:r>
      <w:r>
        <w:rPr/>
        <w:t xml:space="preserve"> </w:t>
      </w:r>
      <w:r>
        <w:rPr>
          <w:color w:val="auto"/>
          <w:sz w:val="28"/>
        </w:rPr>
        <w:t>Южно-Сахалинск, г. Благовещенск</w:t>
        <w:br/>
        <w:t xml:space="preserve">и г. Красноярск, из г. Николаевска-на-Амуре в г. Владивосток. Кроме того, открыт авиамаршрут Советская Гавань − Южно-Сахалинск. Все новые маршруты включены в перечень 20 социально значимых маршрутов, субсидируемых из федерального бюджета </w:t>
      </w:r>
      <w:r>
        <w:rPr>
          <w:rFonts w:cs="Times New Roman"/>
          <w:color w:val="auto"/>
          <w:sz w:val="28"/>
        </w:rPr>
        <w:t>в 2021 году;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spacing w:before="0" w:after="0"/>
        <w:ind w:left="0" w:firstLine="709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auto"/>
          <w:sz w:val="28"/>
        </w:rPr>
        <w:t>открыто 36 маршрутов прямых смешанных (комбинированных),</w:t>
        <w:br/>
        <w:t>в том числе мультимодальных, перевозок пассажиров на территориях субъектов Российской Федерации (план − 15 маршрутов).</w:t>
      </w:r>
    </w:p>
    <w:p>
      <w:pPr>
        <w:pStyle w:val="Normal"/>
        <w:spacing w:before="0" w:after="200"/>
        <w:ind w:left="4614" w:hanging="0"/>
        <w:contextualSpacing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</w:r>
    </w:p>
    <w:p>
      <w:pPr>
        <w:pStyle w:val="Normal"/>
        <w:tabs>
          <w:tab w:val="clear" w:pos="708"/>
          <w:tab w:val="left" w:pos="180" w:leader="none"/>
        </w:tabs>
        <w:jc w:val="center"/>
        <w:rPr/>
      </w:pPr>
      <w:r>
        <w:rPr>
          <w:b/>
          <w:sz w:val="28"/>
        </w:rPr>
        <w:t>ЦЕЛЬ 2. РАЗВИТИЕ ТРАНСПОРТНОЙ ИНФРАСТРУКТУРЫ, НАПРАВЛЕННОЙ НА ПОВЫШЕНИЕ ТЕМПОВ ЭКОНОМИЧЕСКОГО РОСТА, КАЧЕСТВА ЖИЗНИ НАСЕЛЕНИЯ И РЕАЛИЗАЦИЮ ТРАНЗИТНОГО ПОТЕНЦИАЛА</w:t>
      </w:r>
    </w:p>
    <w:p>
      <w:pPr>
        <w:pStyle w:val="Normal"/>
        <w:spacing w:before="0" w:after="200"/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firstLine="709"/>
        <w:jc w:val="both"/>
        <w:rPr>
          <w:b/>
          <w:b/>
          <w:sz w:val="28"/>
        </w:rPr>
      </w:pPr>
      <w:r>
        <w:rPr>
          <w:b/>
          <w:sz w:val="28"/>
        </w:rPr>
        <w:t>Результаты решения задач в 2021 году: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завершены строительство и реконструкция 290 км автомобильных дорог федерального значения (план − 244,9 км); 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введены в эксплуатацию 195,3 км дополнительных главных путей</w:t>
        <w:br/>
        <w:t xml:space="preserve">и новых железнодорожных линий (план − 127,8 км); 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обеспечена суммарная провозная способность Байкало-Амурской</w:t>
        <w:br/>
        <w:t>и Транссибирской железнодорожных магистралей в объеме 144 млн. тонн</w:t>
      </w:r>
      <w:r>
        <w:rPr>
          <w:rFonts w:cs="Times New Roman" w:ascii="Times New Roman" w:hAnsi="Times New Roman"/>
          <w:sz w:val="28"/>
          <w:shd w:fill="B4C7DC" w:val="clear"/>
        </w:rPr>
        <w:br/>
      </w:r>
      <w:r>
        <w:rPr>
          <w:rFonts w:cs="Times New Roman" w:ascii="Times New Roman" w:hAnsi="Times New Roman"/>
          <w:sz w:val="28"/>
        </w:rPr>
        <w:t xml:space="preserve">(план − 144 млн. тонн); 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обеспечена суммарная провозная способность участков на подходах</w:t>
        <w:br/>
        <w:t>к морским портам Северо-Западного бассейна в объеме 145,6 млн. тонн</w:t>
        <w:br/>
        <w:t xml:space="preserve">(план − 145,6 млн. тонн), на подходах к морским портам Азово-Черноморского бассейна в объеме 125,1 млн. тонн (план − 125,1 млн. тонн); 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обеспечены транзитные перевозки контейнеров в объеме 1116,1 тыс. штук</w:t>
        <w:br/>
        <w:t>в двадцатифутовом эквиваленте (план − 850 тыс. штук в двадцатифутовом эквиваленте);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обеспечена доставка транзитных контейнеров на направлении «Север – Юг»</w:t>
        <w:br/>
        <w:t xml:space="preserve">в срок до 2,5 суток (план − до 2,5 суток); 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обеспечена доставка транзитных контейнеров на направлении «Запад – Восток» в срок до 7,1 суток (план − до 8 суток); 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обеспечена доставка транзитных контейнеров на направлении «Европа – Западный Китай» в срок до 2,1 суток (план − до 2,2 суток);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прирост пропускной способности внутренних водных путей в объеме</w:t>
        <w:br/>
        <w:t>1,5 млн. тонн (план − 0,81 млн. тонн);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прирост производственной мощности российских морских портов</w:t>
        <w:br/>
        <w:t>в объеме 19,1 млн. тонн</w:t>
      </w:r>
      <w:r>
        <w:rPr>
          <w:rStyle w:val="Style16"/>
          <w:rFonts w:cs="Times New Roman" w:ascii="Times New Roman" w:hAnsi="Times New Roman"/>
          <w:sz w:val="28"/>
        </w:rPr>
        <w:footnoteReference w:id="3"/>
      </w:r>
      <w:r>
        <w:rPr>
          <w:rFonts w:cs="Times New Roman" w:ascii="Times New Roman" w:hAnsi="Times New Roman"/>
          <w:sz w:val="28"/>
        </w:rPr>
        <w:t xml:space="preserve"> (план − 40,3 млн. тонн);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введены в эксплуатацию после реконструкции (строительства) </w:t>
      </w:r>
      <w:r>
        <w:rPr>
          <w:rFonts w:cs="Times New Roman" w:ascii="Times New Roman" w:hAnsi="Times New Roman"/>
          <w:color w:val="auto"/>
          <w:sz w:val="28"/>
        </w:rPr>
        <w:t>6</w:t>
      </w:r>
      <w:r>
        <w:rPr>
          <w:rFonts w:cs="Times New Roman" w:ascii="Times New Roman" w:hAnsi="Times New Roman"/>
          <w:sz w:val="28"/>
        </w:rPr>
        <w:t xml:space="preserve"> взлетно-посадочных полос</w:t>
      </w:r>
      <w:r>
        <w:rPr>
          <w:rStyle w:val="Style16"/>
          <w:rFonts w:cs="Times New Roman" w:ascii="Times New Roman" w:hAnsi="Times New Roman"/>
          <w:sz w:val="28"/>
        </w:rPr>
        <w:footnoteReference w:id="4"/>
      </w:r>
      <w:r>
        <w:rPr>
          <w:rFonts w:cs="Times New Roman" w:ascii="Times New Roman" w:hAnsi="Times New Roman"/>
          <w:sz w:val="28"/>
        </w:rPr>
        <w:t xml:space="preserve"> и 4 вспомогательных объекта аэропортовой инфраструктуры</w:t>
        <w:br/>
        <w:t>(план − 7 взлетно-посадочных полос и 3 вспомогательных объекта аэропортовой инфраструктуры);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введен в эксплуатацию Санкт-Петербургский укрупненный центр управления воздушным движением.</w:t>
      </w:r>
    </w:p>
    <w:p>
      <w:pPr>
        <w:pStyle w:val="Normal"/>
        <w:spacing w:before="0" w:after="200"/>
        <w:ind w:firstLine="709"/>
        <w:contextualSpacing/>
        <w:jc w:val="both"/>
        <w:rPr>
          <w:sz w:val="28"/>
        </w:rPr>
      </w:pPr>
      <w:r>
        <w:rPr>
          <w:sz w:val="28"/>
        </w:rPr>
        <w:t>Приказом ФГУП «Госкорпорация по ОрВД» от 23 декабря 2021 г.</w:t>
        <w:br/>
        <w:t xml:space="preserve">№ 764-П введен в эксплуатацию Санкт-Петербургский укрупненный центр управления воздушным движением. </w:t>
      </w:r>
    </w:p>
    <w:p>
      <w:pPr>
        <w:pStyle w:val="Normal"/>
        <w:spacing w:before="0" w:after="200"/>
        <w:ind w:firstLine="709"/>
        <w:contextualSpacing/>
        <w:jc w:val="both"/>
        <w:rPr/>
      </w:pPr>
      <w:r>
        <w:rPr>
          <w:sz w:val="28"/>
        </w:rPr>
        <w:t>Ввод в эксплуатацию Санкт-Петербургского регионального центра Единой системы организации воздушного движения Российской Федерации позволит существенно повысить пропускную способность воздушного пространства</w:t>
        <w:br/>
        <w:t xml:space="preserve">и уровень безопасности полетов воздушных судов в Санкт-Петербургской зоне Единой системы, а также будет способствовать снижению эксплуатационных расходов пользователей и уменьшению вредных выбросов за счет обеспечения оптимальных траекторий полетов. </w:t>
      </w:r>
    </w:p>
    <w:p>
      <w:pPr>
        <w:pStyle w:val="Normal"/>
        <w:spacing w:before="0" w:after="0"/>
        <w:ind w:firstLine="709"/>
        <w:contextualSpacing/>
        <w:jc w:val="both"/>
        <w:rPr>
          <w:sz w:val="28"/>
        </w:rPr>
      </w:pPr>
      <w:r>
        <w:rPr>
          <w:sz w:val="28"/>
        </w:rPr>
        <w:t>Общая зона ответственности центра составляет 4,2 млн. кв. км;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открыты после завершения реконструкции (строительства, технического перевооружения) 6 пунктов пропуска через государственную границу Российской Федерации</w:t>
      </w:r>
      <w:r>
        <w:rPr>
          <w:rStyle w:val="Style16"/>
          <w:rFonts w:cs="Times New Roman" w:ascii="Times New Roman" w:hAnsi="Times New Roman"/>
          <w:sz w:val="28"/>
        </w:rPr>
        <w:footnoteReference w:id="5"/>
      </w:r>
      <w:r>
        <w:rPr>
          <w:rFonts w:cs="Times New Roman" w:ascii="Times New Roman" w:hAnsi="Times New Roman"/>
          <w:sz w:val="28"/>
        </w:rPr>
        <w:t xml:space="preserve"> (план − 6 пунктов пропуска через государственную границу Российской Федерации);</w:t>
      </w:r>
    </w:p>
    <w:p>
      <w:pPr>
        <w:pStyle w:val="ListParagraph"/>
        <w:widowControl w:val="false"/>
        <w:numPr>
          <w:ilvl w:val="0"/>
          <w:numId w:val="5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объем перевозок грузов в акватории Северного морского пути составил</w:t>
        <w:br/>
        <w:t>34,9 млн. тонн (план − 30 млн. тонн);</w:t>
      </w:r>
    </w:p>
    <w:p>
      <w:pPr>
        <w:pStyle w:val="ListParagraph"/>
        <w:widowControl w:val="false"/>
        <w:numPr>
          <w:ilvl w:val="0"/>
          <w:numId w:val="5"/>
        </w:numPr>
        <w:tabs>
          <w:tab w:val="clear" w:pos="708"/>
          <w:tab w:val="left" w:pos="993" w:leader="none"/>
        </w:tabs>
        <w:spacing w:before="0" w:after="0"/>
        <w:ind w:left="0" w:firstLine="709"/>
        <w:contextualSpacing/>
        <w:jc w:val="both"/>
        <w:rPr>
          <w:sz w:val="28"/>
        </w:rPr>
      </w:pPr>
      <w:r>
        <w:rPr>
          <w:rFonts w:cs="Times New Roman" w:ascii="Times New Roman" w:hAnsi="Times New Roman"/>
          <w:sz w:val="28"/>
        </w:rPr>
        <w:t xml:space="preserve">введены в эксплуатацию 9 млн. тонн (нарастающим итогом с 2019 года) мощностей узловых грузовых мультимодальных транспортно-логистических центров (план − 5,7 млн. тонн). </w:t>
      </w:r>
    </w:p>
    <w:p>
      <w:pPr>
        <w:pStyle w:val="ListParagraph"/>
        <w:widowControl w:val="false"/>
        <w:tabs>
          <w:tab w:val="clear" w:pos="708"/>
          <w:tab w:val="left" w:pos="993" w:leader="none"/>
        </w:tabs>
        <w:spacing w:before="0" w:after="0"/>
        <w:ind w:left="709" w:hanging="0"/>
        <w:contextualSpacing/>
        <w:jc w:val="both"/>
        <w:rPr>
          <w:sz w:val="28"/>
        </w:rPr>
      </w:pPr>
      <w:r>
        <w:rPr>
          <w:sz w:val="28"/>
        </w:rPr>
      </w:r>
    </w:p>
    <w:p>
      <w:pPr>
        <w:pStyle w:val="Normal"/>
        <w:tabs>
          <w:tab w:val="clear" w:pos="708"/>
          <w:tab w:val="left" w:pos="180" w:leader="none"/>
        </w:tabs>
        <w:jc w:val="center"/>
        <w:rPr/>
      </w:pPr>
      <w:r>
        <w:rPr>
          <w:b/>
          <w:sz w:val="28"/>
        </w:rPr>
        <w:t>ЦЕЛЬ 3. ПОВЫШЕНИЕ ЭФФЕКТИВНОСТИ И БЕЗОПАСНОСТИ ФУНКЦИОНИРОВАНИЯ ТРАНСПОРТНОГО КОМПЛЕКСА</w:t>
      </w:r>
    </w:p>
    <w:p>
      <w:pPr>
        <w:pStyle w:val="Normal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firstLine="567"/>
        <w:jc w:val="both"/>
        <w:rPr>
          <w:b/>
          <w:b/>
          <w:sz w:val="28"/>
        </w:rPr>
      </w:pPr>
      <w:r>
        <w:rPr>
          <w:b/>
          <w:sz w:val="28"/>
        </w:rPr>
        <w:t>Результаты решения задач в 2021 году: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sz w:val="28"/>
        </w:rPr>
      </w:pPr>
      <w:r>
        <w:rPr>
          <w:sz w:val="28"/>
        </w:rPr>
        <w:t>обеспечение функционирования транспортного комплекса в соответствии</w:t>
        <w:br/>
        <w:t>с утвержденными Минтрансом России и Роспотребнадзором рекомендациями</w:t>
        <w:br/>
        <w:t>по санитарно-противоэпидемическим мероприятиям при перевозке пассажиров всеми видами транспорта и на объектах транспортной инфраструктуры;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/>
      </w:pPr>
      <w:r>
        <w:rPr>
          <w:sz w:val="28"/>
        </w:rPr>
        <w:t>обеспечение протяженности автомобильных дорог общего пользования федерального значения, соответствующих нормативным требованиям</w:t>
        <w:br/>
        <w:t>к транспортно-эксплуатационным показателям, на уровне 76 %</w:t>
      </w:r>
      <w:r>
        <w:rPr>
          <w:rStyle w:val="Style16"/>
          <w:sz w:val="28"/>
        </w:rPr>
        <w:footnoteReference w:id="6"/>
      </w:r>
      <w:r>
        <w:rPr>
          <w:sz w:val="28"/>
        </w:rPr>
        <w:t xml:space="preserve"> (план − 75 %)</w:t>
        <w:br/>
        <w:t>от общей протяженности автомобильных дорог федерального значения с учетом Плана приема-передачи автомобильных дорог из одной формы собственности</w:t>
        <w:br/>
        <w:t>в другую;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sz w:val="28"/>
        </w:rPr>
      </w:pPr>
      <w:r>
        <w:rPr>
          <w:sz w:val="28"/>
        </w:rPr>
        <w:t>обеспечение в рамках реализации национального проекта «Безопасные качественные дороги» доли автомобильных дорог регионального</w:t>
        <w:br/>
        <w:t>и межмуниципального значения, соответствующих нормативным требованиям,</w:t>
        <w:br/>
        <w:t>на уровне 48,95</w:t>
      </w:r>
      <w:r>
        <w:rPr>
          <w:rStyle w:val="Style16"/>
          <w:sz w:val="28"/>
        </w:rPr>
        <w:footnoteReference w:id="7"/>
      </w:r>
      <w:r>
        <w:rPr>
          <w:sz w:val="28"/>
        </w:rPr>
        <w:t xml:space="preserve"> % (план − 45,8 %) от общей протяженности;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/>
      </w:pPr>
      <w:r>
        <w:rPr>
          <w:sz w:val="28"/>
        </w:rPr>
        <w:t>обеспечение в рамках реализации национального проекта «Безопасные качественные дороги» доли протяженности дорожной сети городских агломераций, соответствующей нормативным требованиям к транспортно-эксплуатационному состоянию, на уровне 77,93</w:t>
      </w:r>
      <w:r>
        <w:rPr>
          <w:sz w:val="28"/>
          <w:vertAlign w:val="superscript"/>
        </w:rPr>
        <w:t>5</w:t>
      </w:r>
      <w:r>
        <w:rPr>
          <w:sz w:val="28"/>
        </w:rPr>
        <w:t xml:space="preserve"> % (план − 73 %) от общей протяженности;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/>
      </w:pPr>
      <w:r>
        <w:rPr>
          <w:sz w:val="28"/>
        </w:rPr>
        <w:t>обеспечение доли эксплуатируемых внутренних водных путей</w:t>
        <w:br/>
        <w:t>с освещаемой и отражательной обстановкой на уровне 38,3 % (план − 38,3 %);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sz w:val="28"/>
        </w:rPr>
      </w:pPr>
      <w:r>
        <w:rPr>
          <w:sz w:val="28"/>
        </w:rPr>
        <w:t>обеспечение функционирования 313 пунктов пропуска через государственную границу Российской Федерации (план − 313 пунктов пропуска);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sz w:val="28"/>
        </w:rPr>
      </w:pPr>
      <w:r>
        <w:rPr>
          <w:sz w:val="28"/>
        </w:rPr>
        <w:t>создание и начало осуществления деятельности Международного бюро</w:t>
        <w:br/>
        <w:t>по расследованию авиационных происшествий и серьезных инцидентов.</w:t>
      </w:r>
    </w:p>
    <w:p>
      <w:pPr>
        <w:pStyle w:val="Normal"/>
        <w:spacing w:before="0" w:after="200"/>
        <w:ind w:firstLine="709"/>
        <w:contextualSpacing/>
        <w:jc w:val="both"/>
        <w:rPr>
          <w:sz w:val="28"/>
        </w:rPr>
      </w:pPr>
      <w:r>
        <w:rPr>
          <w:sz w:val="28"/>
        </w:rPr>
        <w:t>В течение 2021 года проработаны вопросы о численности персонала</w:t>
        <w:br/>
        <w:t>и бюджете Международного бюро по расследованию авиационных происшествий</w:t>
        <w:br/>
        <w:t>и серьезных инцидентов (далее – Бюро), а также о временном размещении председателя Бюро и предоставлении Бюро юридического адреса.</w:t>
      </w:r>
    </w:p>
    <w:p>
      <w:pPr>
        <w:pStyle w:val="Normal"/>
        <w:spacing w:before="0" w:after="200"/>
        <w:ind w:firstLine="709"/>
        <w:contextualSpacing/>
        <w:jc w:val="both"/>
        <w:rPr>
          <w:sz w:val="28"/>
        </w:rPr>
      </w:pPr>
      <w:r>
        <w:rPr>
          <w:sz w:val="28"/>
        </w:rPr>
        <w:t>Ведется работа по получению позиций Республики Казахстан, Киргизской Республики, Республики Беларусь относительно участия в создании</w:t>
        <w:br/>
        <w:t>и деятельности Бюро для продолжения деятельности по его формированию;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sz w:val="28"/>
        </w:rPr>
      </w:pPr>
      <w:r>
        <w:rPr>
          <w:sz w:val="28"/>
        </w:rPr>
        <w:t>обеспечено применение средств идентификации (пломб), функционирующих на основе технологии глобальной навигационной спутниковой системы ГЛОНАСС, при осуществлении транзитных перевозок отдельных видов грузов через территорию Российской Федерации;</w:t>
      </w:r>
    </w:p>
    <w:p>
      <w:pPr>
        <w:pStyle w:val="Normal"/>
        <w:numPr>
          <w:ilvl w:val="0"/>
          <w:numId w:val="7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sz w:val="28"/>
        </w:rPr>
      </w:pPr>
      <w:r>
        <w:rPr>
          <w:sz w:val="28"/>
        </w:rPr>
        <w:t>обеспечено количество показателей, характеризующих состояние транспортной системы, обрабатываемых в централизованном банке данных информационно-аналитической системы регулирования на транспорте, в объеме</w:t>
        <w:br/>
        <w:t>2200 единиц (план − 1400 единиц);</w:t>
      </w:r>
    </w:p>
    <w:p>
      <w:pPr>
        <w:pStyle w:val="Normal"/>
        <w:numPr>
          <w:ilvl w:val="0"/>
          <w:numId w:val="7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sz w:val="28"/>
        </w:rPr>
      </w:pPr>
      <w:r>
        <w:rPr>
          <w:sz w:val="28"/>
        </w:rPr>
        <w:t>обеспечено количество субъектов транспортной деятельности, подключенных к единому защищенному закрытому информационному пространству в сфере обеспечения безопасности населения на транспорте, в объеме 7182 единицы (план − 3000 единиц);</w:t>
      </w:r>
    </w:p>
    <w:p>
      <w:pPr>
        <w:pStyle w:val="Normal"/>
        <w:numPr>
          <w:ilvl w:val="0"/>
          <w:numId w:val="7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/>
      </w:pPr>
      <w:r>
        <w:rPr>
          <w:sz w:val="28"/>
        </w:rPr>
        <w:t>разработана Концепция создания и функционирования национальной сети интеллектуальных транспортных систем на автомобильных дорогах общего пользования.</w:t>
      </w:r>
    </w:p>
    <w:p>
      <w:pPr>
        <w:pStyle w:val="Normal"/>
        <w:spacing w:before="0" w:after="200"/>
        <w:ind w:firstLine="709"/>
        <w:contextualSpacing/>
        <w:jc w:val="both"/>
        <w:rPr/>
      </w:pPr>
      <w:r>
        <w:rPr>
          <w:sz w:val="28"/>
        </w:rPr>
        <w:t>Минтрансом России подготовлен проект распоряжения Правительства Российской Федерации об утверждении Концепции создания и функционирования национальной сети интеллектуальных транспортных систем на автомобильных дорогах общего пользования (далее – Концепция).</w:t>
      </w:r>
    </w:p>
    <w:p>
      <w:pPr>
        <w:pStyle w:val="Normal"/>
        <w:spacing w:before="0" w:after="200"/>
        <w:ind w:firstLine="709"/>
        <w:contextualSpacing/>
        <w:jc w:val="both"/>
        <w:rPr/>
      </w:pPr>
      <w:r>
        <w:rPr>
          <w:sz w:val="28"/>
        </w:rPr>
        <w:t>Концепция направлена на решение задач по переходу к инновационной модели развития дорожной отрасли на основе цифровых технологий</w:t>
        <w:br/>
        <w:t>и платформенных решений в  части формирования интеллектуальной дорожно-транспортной инфраструктуры, внедрения на автомобильных дорогах общего пользования интеллектуальных транспортных систем (далее – ИТС) и обеспечения</w:t>
        <w:br/>
        <w:t>их взаимодействия с высокоавтоматизированными и полностью автоматизированными транспортными средствами.</w:t>
      </w:r>
    </w:p>
    <w:p>
      <w:pPr>
        <w:pStyle w:val="Normal"/>
        <w:spacing w:before="0" w:after="200"/>
        <w:ind w:firstLine="709"/>
        <w:contextualSpacing/>
        <w:jc w:val="both"/>
        <w:rPr/>
      </w:pPr>
      <w:r>
        <w:rPr>
          <w:sz w:val="28"/>
        </w:rPr>
        <w:t>Концепция определяет цели, задачи и принципы создания</w:t>
        <w:br/>
        <w:t>и функционирования в Российской Федерации национальной сети интеллектуальных транспортных систем на автомобильных дорогах общего пользования, основные составляющие ее элементы и порядок формирования</w:t>
        <w:br/>
        <w:t>на их основе национальной сети ИТС, а также предварительную оценку ожидаемых результатов создания национальной сети ИТС.</w:t>
      </w:r>
    </w:p>
    <w:p>
      <w:pPr>
        <w:pStyle w:val="Normal"/>
        <w:spacing w:before="0" w:after="200"/>
        <w:ind w:firstLine="709"/>
        <w:contextualSpacing/>
        <w:jc w:val="both"/>
        <w:rPr/>
      </w:pPr>
      <w:r>
        <w:rPr>
          <w:sz w:val="28"/>
        </w:rPr>
        <w:t>В настоящее время Концепция дорабатывается с учетом замечаний, представленных заинтересованными федеральными органами исполнительной власти;</w:t>
      </w:r>
    </w:p>
    <w:p>
      <w:pPr>
        <w:pStyle w:val="Normal"/>
        <w:numPr>
          <w:ilvl w:val="0"/>
          <w:numId w:val="8"/>
        </w:numPr>
        <w:tabs>
          <w:tab w:val="clear" w:pos="708"/>
          <w:tab w:val="left" w:pos="993" w:leader="none"/>
        </w:tabs>
        <w:spacing w:before="0" w:after="0"/>
        <w:ind w:left="0" w:firstLine="709"/>
        <w:contextualSpacing/>
        <w:jc w:val="both"/>
        <w:rPr>
          <w:sz w:val="28"/>
        </w:rPr>
      </w:pPr>
      <w:r>
        <w:rPr>
          <w:sz w:val="28"/>
        </w:rPr>
        <w:t>реализованы Приоритетные направления и первоочередные задачи дальнейшего развития Союзного государства на 2018−2022 годы и План мероприятий по формированию и функционированию объединенной транспортной системы Союзного государства на 2019−2021 годы.</w:t>
      </w:r>
    </w:p>
    <w:p>
      <w:pPr>
        <w:pStyle w:val="Normal"/>
        <w:spacing w:before="0" w:after="200"/>
        <w:ind w:firstLine="709"/>
        <w:contextualSpacing/>
        <w:jc w:val="both"/>
        <w:rPr>
          <w:sz w:val="28"/>
        </w:rPr>
      </w:pPr>
      <w:r>
        <w:rPr>
          <w:sz w:val="28"/>
        </w:rPr>
        <w:t>Работа по формированию и обеспечению функционирования объединенной транспортной системы Союзного государства (России и Беларуси) осуществлялась</w:t>
        <w:br/>
        <w:t>на основе реализации положений Договора о создании Союзного государства</w:t>
        <w:br/>
        <w:t>от 8 декабря 1999 г., а также реализации Приоритетных направлений</w:t>
        <w:br/>
        <w:t>и первоочередных задач дальнейшего развития Союзного государства</w:t>
        <w:br/>
        <w:t>на 2018−2022 годы и Плана мероприятий по формированию и функционированию объединенной транспортной системы Союзного государства на 2019−2021 годы.</w:t>
      </w:r>
    </w:p>
    <w:p>
      <w:pPr>
        <w:pStyle w:val="Normal"/>
        <w:spacing w:before="0" w:after="200"/>
        <w:ind w:firstLine="709"/>
        <w:contextualSpacing/>
        <w:jc w:val="both"/>
        <w:rPr>
          <w:sz w:val="28"/>
        </w:rPr>
      </w:pPr>
      <w:r>
        <w:rPr>
          <w:sz w:val="28"/>
        </w:rPr>
        <w:t>Уполномоченные представители Минтранса России и причастных транспортных ведомств и организаций принимали участие в заседаниях Группы высокого уровня Совета Министров Союзного государства и Совета Министров</w:t>
        <w:br/>
        <w:t>Союзного государства по рассмотрению актуальных вопросов в сфере транспорта.</w:t>
      </w:r>
    </w:p>
    <w:p>
      <w:pPr>
        <w:pStyle w:val="Normal"/>
        <w:spacing w:before="0" w:after="200"/>
        <w:ind w:firstLine="709"/>
        <w:contextualSpacing/>
        <w:jc w:val="both"/>
        <w:rPr>
          <w:sz w:val="28"/>
        </w:rPr>
      </w:pPr>
      <w:r>
        <w:rPr>
          <w:sz w:val="28"/>
        </w:rPr>
        <w:t>19 февраля 2021 г. состоялось 18-е заседание Координационной комиссии</w:t>
        <w:br/>
        <w:t>по транспорту в рамках Союзного государства, в ходе которого Министр транспорта</w:t>
        <w:br/>
        <w:t>Российской Федерации В.Г. Савельев и Министр транспорта и коммуникаций Республики Беларусь А.Н. Авраменко подписали межправительственные соглашения об организации сотрудничества в области перевозки и перевалки нефтепродуктов происхождения Республики Беларусь, предназначенных для поставки на экспорт в третьи страны через морские порты Российской Федерации,</w:t>
        <w:br/>
        <w:t>а также о взаимодействии в области обеспечения транспортной безопасности.</w:t>
      </w:r>
    </w:p>
    <w:p>
      <w:pPr>
        <w:pStyle w:val="Normal"/>
        <w:spacing w:before="0" w:after="200"/>
        <w:ind w:firstLine="709"/>
        <w:contextualSpacing/>
        <w:jc w:val="both"/>
        <w:rPr/>
      </w:pPr>
      <w:r>
        <w:rPr>
          <w:sz w:val="28"/>
        </w:rPr>
        <w:t>4 ноября 2021 г. на заседании Высшего государственного совета Союзного государства главами государств России и Беларуси был утвержден пакет</w:t>
        <w:br/>
        <w:t xml:space="preserve">из отраслевых Союзных программ, в том числе Союзная программа по унификации регулирования транспортного рынка; </w:t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/>
      </w:pPr>
      <w:r>
        <w:rPr>
          <w:sz w:val="28"/>
        </w:rPr>
        <w:t>выполнены планы мероприятий («дорожных карт») по реализации Основных направлений и этапов скоординированной (согласованной) транспортной политики государств − членов Евразийского экономического союза.</w:t>
      </w:r>
    </w:p>
    <w:p>
      <w:pPr>
        <w:pStyle w:val="Normal"/>
        <w:ind w:firstLine="709"/>
        <w:jc w:val="both"/>
        <w:rPr/>
      </w:pPr>
      <w:r>
        <w:rPr>
          <w:sz w:val="28"/>
        </w:rPr>
        <w:t>Основные направления и этапы скоординированной (согласованной) транспортной политики государств − членов Евразийского экономического союза (ОНСТП) предусматривают снятие к 2025 году имеющихся ограничений</w:t>
        <w:br/>
        <w:t xml:space="preserve">на перевозки всеми видами транспорта в государствах − членах Евразийского экономического союза. Практическая реализация ОНСТП осуществляется на основе среднесрочных планов – «дорожных карт» (распоряжением Евразийского межправительственного совета от 20 августа 2021 г. № 15 одобрен План мероприятий («дорожная карта») по реализации ОНСТП на 2021−2023 годы), предусматривающих комплекс конкретных мероприятий). </w:t>
      </w:r>
    </w:p>
    <w:p>
      <w:pPr>
        <w:pStyle w:val="Normal"/>
        <w:ind w:firstLine="709"/>
        <w:jc w:val="both"/>
        <w:rPr/>
      </w:pPr>
      <w:r>
        <w:rPr>
          <w:sz w:val="28"/>
        </w:rPr>
        <w:t>В соответствии с распоряжением Коллегии Евразийской экономической комиссии от 26 октября 2021 г. № 175 утвержден перечень евразийских транспортных коридоров и маршрутов. Данный перечень включает ряд автомобильных дорог и маршрутов, координация и развитие которых будет способствовать дальнейшему формированию единого транспортного пространства</w:t>
        <w:br/>
        <w:t xml:space="preserve">в Евразийском экономическом союзе. </w:t>
      </w:r>
    </w:p>
    <w:p>
      <w:pPr>
        <w:pStyle w:val="Normal"/>
        <w:ind w:firstLine="709"/>
        <w:jc w:val="both"/>
        <w:rPr/>
      </w:pPr>
      <w:r>
        <w:rPr>
          <w:sz w:val="28"/>
        </w:rPr>
        <w:t xml:space="preserve">В сфере водного транспорта проводилась работа по выработке  международного межведомственного договора о требованиях к минимальному составу экипажей судов. </w:t>
      </w:r>
    </w:p>
    <w:p>
      <w:pPr>
        <w:pStyle w:val="Normal"/>
        <w:ind w:firstLine="709"/>
        <w:jc w:val="both"/>
        <w:rPr/>
      </w:pPr>
      <w:r>
        <w:rPr>
          <w:sz w:val="28"/>
        </w:rPr>
        <w:t>Во исполнение пункта 47 «дорожной карты» по реализации ОНСТП</w:t>
        <w:br/>
        <w:t>на 2021−2023 годы совместно с Евразийской экономической комиссией  проводится работа по анализу целесообразности разработки и заключения международного договора по созданию и функционированию общего рынка услуг воздушного пространства в рамках Евразийского экономического союза. В перспективе данная работа предусматривает разработку и принятие акта органа Евразийского экономического союза до 2023 года, что подразумевает под собой порядок действий для формирования общего рынка услуг воздушного транспорта Евразийского экономического союза.</w:t>
      </w:r>
    </w:p>
    <w:p>
      <w:pPr>
        <w:pStyle w:val="Normal"/>
        <w:ind w:firstLine="709"/>
        <w:jc w:val="both"/>
        <w:rPr/>
      </w:pPr>
      <w:r>
        <w:rPr>
          <w:sz w:val="28"/>
        </w:rPr>
        <w:t>Распоряжением Евразийского межправительственного совета</w:t>
        <w:br/>
        <w:t>от 20 августа 2021 г. № 17 одобрен План первоочередных мероприятий</w:t>
        <w:br/>
        <w:t>по цифровизации грузовых железнодорожных перевозок в интересах развития торгово-экономического сотрудничества между Евразийским экономическим союзом и его государствами-членами с одной стороны и Китайской Народной Республикой с другой стороны. Проводилась работа по внесению изменений</w:t>
        <w:br/>
        <w:t>в технические регламенты «О безопасности железнодорожного подвижного состава», «О безопасности высокоскоростного железнодорожного транспорта»</w:t>
        <w:br/>
        <w:t xml:space="preserve">и «О безопасности инфраструктуры железнодорожного транспорта». </w:t>
      </w:r>
    </w:p>
    <w:p>
      <w:pPr>
        <w:pStyle w:val="Normal"/>
        <w:ind w:firstLine="709"/>
        <w:jc w:val="both"/>
        <w:rPr/>
      </w:pPr>
      <w:r>
        <w:rPr>
          <w:sz w:val="28"/>
        </w:rPr>
        <w:t>Решением Совета Евразийской экономической комиссии от 14 сентября</w:t>
        <w:br/>
        <w:t>2021 г. № 87 утвержден проект по созданию информационно-коммуникационной «витрины» национальных сервисов экосистемы цифровых транспортных коридоров Евразийского экономического союза. Проект является первым шагом на пути</w:t>
        <w:br/>
        <w:t>к формированию цифровой экосистемы для развития логистических цепочек, контролю осуществления перевозочного процесса, электронному транспортному документообороту, применению цифровых инструментов, направленных</w:t>
        <w:br/>
        <w:t>на минимизацию простоев во время перевозки на всем пространстве Евразийского экономического союза. Результатом практической работы по цифровизации грузоперевозок в рамках евразийской интеграции стало Соглашение о применении</w:t>
        <w:br/>
        <w:t>в Евразийском экономическом союзе навигационных пломб для отслеживания перевозок, подписанное 10 декабря 2021 г.</w:t>
      </w:r>
    </w:p>
    <w:p>
      <w:pPr>
        <w:pStyle w:val="Normal"/>
        <w:ind w:firstLine="709"/>
        <w:jc w:val="both"/>
        <w:rPr/>
      </w:pPr>
      <w:r>
        <w:rPr>
          <w:sz w:val="28"/>
        </w:rPr>
        <w:t xml:space="preserve">В рамках реализации Стратегических направлений развития Евразийской экономической интеграции в контексте формирования Большого Евразийского пространства с учетом сопряжения с китайской инициативой «Один пояс – Один путь» продолжалась реализация проекта «Европа – Западный Китай», включающая реконструкцию существующих и создание новых участков автомобильных дорог, которые будут проходить по территории России, Беларуси, Казахстана и Китая. </w:t>
      </w:r>
    </w:p>
    <w:p>
      <w:pPr>
        <w:pStyle w:val="Normal"/>
        <w:ind w:firstLine="709"/>
        <w:jc w:val="both"/>
        <w:rPr/>
      </w:pPr>
      <w:r>
        <w:rPr>
          <w:sz w:val="28"/>
        </w:rPr>
        <w:t>Автомобильная дорога «Меридиан» должна стать частью международного проекта, связывающего Европу и Китай. Для успешной реализации проекта</w:t>
        <w:br/>
        <w:t xml:space="preserve">по строительству автомобильной дороги «Меридиан» прорабатывается эффективный механизм координации мероприятий по развитию транспортного сообщения между всеми участниками проекта. </w:t>
      </w:r>
    </w:p>
    <w:p>
      <w:pPr>
        <w:pStyle w:val="Normal"/>
        <w:spacing w:before="0" w:after="0"/>
        <w:ind w:firstLine="709"/>
        <w:contextualSpacing/>
        <w:jc w:val="both"/>
        <w:rPr/>
      </w:pPr>
      <w:r>
        <w:rPr>
          <w:sz w:val="28"/>
        </w:rPr>
        <w:t>Существенным фактором развития евразийской интеграции и обеспечения бесперебойных поставок является цифровизация грузоперевозок. В связи с этим проводилась работа по подготовке проекта Плана первоочередных</w:t>
        <w:br/>
        <w:t>мероприятий по формированию евразийской части цифровых транспортных коридоров и маршрутов между Евразийским экономическим союзом</w:t>
        <w:br/>
        <w:t xml:space="preserve">и его государствами-членами с Китайской Народной Республикой; </w:t>
      </w:r>
    </w:p>
    <w:p>
      <w:pPr>
        <w:pStyle w:val="ListParagraph"/>
        <w:numPr>
          <w:ilvl w:val="1"/>
          <w:numId w:val="10"/>
        </w:numPr>
        <w:tabs>
          <w:tab w:val="clear" w:pos="708"/>
          <w:tab w:val="left" w:pos="0" w:leader="none"/>
          <w:tab w:val="left" w:pos="1134" w:leader="none"/>
        </w:tabs>
        <w:spacing w:before="0" w:after="0"/>
        <w:ind w:left="0" w:firstLine="709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</w:rPr>
        <w:t>приняты (одобрены) в рамках международных организаций и форумов итоговые документы, отражающие приоритеты российского транспортного комплекса.</w:t>
      </w:r>
    </w:p>
    <w:p>
      <w:pPr>
        <w:pStyle w:val="Normal"/>
        <w:ind w:firstLine="709"/>
        <w:jc w:val="both"/>
        <w:rPr/>
      </w:pPr>
      <w:r>
        <w:rPr>
          <w:sz w:val="28"/>
        </w:rPr>
        <w:t>Минтрансом России во взаимодействии с организациями российского транспортного комплекса подготовлены новые предложения в части перечня «сухих портов» международного значения, расположенных на территории Российской Федерации, для включения в приложение I к Межправительственному соглашению</w:t>
        <w:br/>
        <w:t>о «сухих портах». Российские предложения одобрены на 4-м заседании Рабочей группы ЭСКАТО по «сухим портам» (2−3 июня 2021 г.).</w:t>
      </w:r>
    </w:p>
    <w:p>
      <w:pPr>
        <w:pStyle w:val="Normal"/>
        <w:ind w:firstLine="709"/>
        <w:jc w:val="both"/>
        <w:rPr/>
      </w:pPr>
      <w:r>
        <w:rPr>
          <w:sz w:val="28"/>
        </w:rPr>
        <w:t>В рамках проекта технического содействия ЭСКАТО «Развитие устойчивых городских транспортных систем в Азиатско-Тихоокеанском регионе в целях выполнения регионом Повестки дня в области устойчивого развития на период</w:t>
        <w:br/>
        <w:t>до 2030 года» 9−10 июня 2021 г. в г. Бангкоке в режиме видеоконференции состоялось Азиатско-Тихоокеанское региональное совещание на тему «Город</w:t>
        <w:br/>
        <w:t>и транспорт: безопасность, эффективность, устойчивость». В аналитическом отчете совещания «Рекомендации по достижению безопасного, экологически чистого, интеллектуального и доступного для всех городского транспорта» отражен опыт</w:t>
        <w:br/>
        <w:t>и наилучшие практики ряда российских городов (Москва, Казань, Пермь, Хабаровск). По итогам совещания принята Бангкокская декларация, в которую включены приоритеты российского транспортного комплекса в части городского планирования. Кроме того, по инициативе Минтранса России в декларации отражены меры по снижению негативных эффектов от использования моторизованного транспорта в городах и развитию экологически чистого транспорта.</w:t>
      </w:r>
    </w:p>
    <w:p>
      <w:pPr>
        <w:pStyle w:val="Normal"/>
        <w:ind w:firstLine="709"/>
        <w:jc w:val="both"/>
        <w:rPr/>
      </w:pPr>
      <w:r>
        <w:rPr>
          <w:sz w:val="28"/>
        </w:rPr>
        <w:t>Минтрансом России инициирован проект технического содействия ЭСКАТО «Расширение сотрудничества среди транспортных, образовательных и учебных институтов и правительственных структур в целях развития устойчивого транспорта в отдельных странах Азиатско-Тихоокеанского региона». В качестве международного консультанта по проекту выступил представитель РУТ (МИИТ). Под эгидой ЭСКАТО 22−23 сентября 2021 г. состоялась региональная конференция</w:t>
        <w:br/>
        <w:t>по транспортным исследованиям и образованию, на которой РУТ (МИИТ) представил рекомендации по формированию комплексной программы обучения</w:t>
        <w:br/>
        <w:t>в сфере устойчивого развития транспорта, включающей три измерения (экономическое, социальное и экологическое). На конференции также был представлен механизм координации научно-исследовательских и образовательных учреждений Азиатско-Тихоокеанского региона –  Сеть транспортных исследований</w:t>
        <w:br/>
        <w:t>и образования ЭСКАТО. Координатором Сети определен РУТ (МИИТ) совместно</w:t>
        <w:br/>
        <w:t>с Университетом Монаша (Австралия). Ее цель – содействовать созданию региональной сети и обмену знаниями между транспортными научно-исследовательскими институтами стран − членов ЭСКАТО. На 4-й конференции министров транспорта ЭСКАТО (14−17 декабря 2021 г.) состоялся официальный запуск Сети.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</w:rPr>
        <w:t>По итогам 4-й министерской конференции ЭСКАТО по транспорту приняты стратегические документы, определяющие векторы развития транспортной системы</w:t>
        <w:br/>
        <w:t>в регионе ЭСКАТО – декларация министров о развитии устойчивого транспорта</w:t>
        <w:br/>
        <w:t>в Азиатско-Тихоокеанском регионе и Региональная программа действий по развитию устойчивого транспорта в Азиатско-Тихоокеанском регионе</w:t>
        <w:br/>
        <w:t>на 2022−2026 годы. По инициативе Минтранса России в министерскую декларацию были включены положения о взаимодействии с заинтересованными международными организациями по развитию евроазиатских транспортных связей, скоординированном развитии мультимодальных транспортных коридоров, создании гармонизированных правовых рамок для мультимодальных перевозок, а также</w:t>
        <w:br/>
        <w:t>о формировании «умных» цепочек поставок посредством цифровизации перевозочного процесса. Кроме того, по предложению Минтранса России</w:t>
        <w:br/>
        <w:t xml:space="preserve">в Региональную программу действий включено тематическое направление работы «Цифровизация транспорта». </w:t>
      </w:r>
    </w:p>
    <w:p>
      <w:pPr>
        <w:pStyle w:val="Normal"/>
        <w:widowControl w:val="false"/>
        <w:ind w:firstLine="709"/>
        <w:jc w:val="both"/>
        <w:rPr/>
      </w:pPr>
      <w:r>
        <w:rPr>
          <w:sz w:val="28"/>
        </w:rPr>
        <w:t>При участии Минтранса России подготовлена министерская резолюция «Повышение устойчивости внутреннего транспортного сообщения в чрезвычайных ситуациях – срочный призыв к согласованным действиям», одобренная</w:t>
        <w:br/>
        <w:t>по итогам 83-й сессии Комитета по внутреннему транспорту ЕЭК ООН</w:t>
        <w:br/>
        <w:t>(23−26 февраля 2021 г.).</w:t>
      </w:r>
    </w:p>
    <w:p>
      <w:pPr>
        <w:pStyle w:val="Normal"/>
        <w:spacing w:before="0" w:after="200"/>
        <w:ind w:firstLine="709"/>
        <w:contextualSpacing/>
        <w:jc w:val="both"/>
        <w:rPr/>
      </w:pPr>
      <w:r>
        <w:rPr>
          <w:sz w:val="28"/>
        </w:rPr>
        <w:t>Минтранс России инициировал совместный проект Российской Федерации</w:t>
        <w:br/>
        <w:t>и Организации экономического сотрудничества и развития (ОЭСР) «Городское планирование и транспортное поведение». В период с 17 по 18 ноября 2021 г.</w:t>
        <w:br/>
        <w:t>в рамках Транспортной недели – 2021 состоялось ключевое мероприятие проекта – круглый стол на тему «Городское планирование и транспортное поведение».</w:t>
        <w:br/>
        <w:t>На круглом столе был представлен проект национального российского доклада</w:t>
        <w:br/>
        <w:t>с анализом передовой практики внедрения моделей транспортного поведения населения в городскую транспортную политику, отразивший текущие тенденции</w:t>
        <w:br/>
        <w:t>и вызовы транспортных систем в городах России. Кроме того, были озвучены наработки гг. Москвы, Санкт-Петербурга и Перми по взаимосвязи транспорта</w:t>
        <w:br/>
        <w:t>и градостроительства, управлению транспортным спросом и переходу к устойчивым видам мобильности. По итогам круглого стола подготовлен проект итоговых рекомендаций по совершенствованию городского и транспортного планирования,</w:t>
        <w:br/>
        <w:t>а также формированию транспортного поведения населения с учетом специфики Российской Федерации и других заинтересованных стран;</w:t>
      </w:r>
    </w:p>
    <w:p>
      <w:pPr>
        <w:pStyle w:val="Normal"/>
        <w:numPr>
          <w:ilvl w:val="0"/>
          <w:numId w:val="11"/>
        </w:numPr>
        <w:tabs>
          <w:tab w:val="clear" w:pos="708"/>
          <w:tab w:val="left" w:pos="993" w:leader="none"/>
        </w:tabs>
        <w:spacing w:before="0" w:after="200"/>
        <w:ind w:left="0" w:firstLine="709"/>
        <w:contextualSpacing/>
        <w:jc w:val="both"/>
        <w:rPr>
          <w:sz w:val="28"/>
        </w:rPr>
      </w:pPr>
      <w:r>
        <w:rPr>
          <w:sz w:val="28"/>
        </w:rPr>
        <w:t>сформирован план реализации Концепции подготовки кадров</w:t>
        <w:br/>
        <w:t>для транспортного комплекса до 2035 года, утвержденной распоряжением Правительства Российской Федерации от 6 февраля 2021 г. № 255-р.</w:t>
      </w:r>
    </w:p>
    <w:p>
      <w:pPr>
        <w:pStyle w:val="Normal"/>
        <w:spacing w:before="0" w:after="200"/>
        <w:ind w:firstLine="709"/>
        <w:contextualSpacing/>
        <w:jc w:val="both"/>
        <w:rPr>
          <w:sz w:val="28"/>
        </w:rPr>
      </w:pPr>
      <w:r>
        <w:rPr>
          <w:sz w:val="28"/>
        </w:rPr>
        <w:t>План реализации Концепции подготовки кадров для транспортного комплекса до 2035 года утвержден 14 сентября 2021 г.</w:t>
      </w:r>
    </w:p>
    <w:p>
      <w:pPr>
        <w:pStyle w:val="Normal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 xml:space="preserve">ИТОГИ РЕАЛИЗАЦИИ В 2021 ГОДУ ПЛАНА-ГРАФИКА МЕРОПРИЯТИЙ </w:t>
        <w:br/>
        <w:t>ПО РЕАЛИЗАЦИИ ДОКУМЕНТОВ СТРАТЕГИЧЕСКОГО ПЛАНИРОВАНИЯ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достигнут высокий уровень реализации Плана-графика:</w:t>
      </w:r>
    </w:p>
    <w:p>
      <w:pPr>
        <w:pStyle w:val="BodyText2"/>
        <w:ind w:firstLine="720"/>
        <w:jc w:val="both"/>
        <w:rPr/>
      </w:pPr>
      <w:r>
        <w:rPr/>
        <w:t>уровень выполнения целевых показателей составил 100 % (достигнуты плановые значения по 6 установленным целевым показателям) (по оперативным данным);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color w:val="auto"/>
        </w:rPr>
        <w:t>уровень выполнения по индикаторам направлений (блокам мероприятий) составил</w:t>
      </w:r>
      <w:r>
        <w:rPr/>
        <w:t xml:space="preserve"> 83 % (достигнуты или превышены плановые значения </w:t>
      </w:r>
      <w:r>
        <w:rPr>
          <w:color w:val="auto"/>
        </w:rPr>
        <w:t>п</w:t>
      </w:r>
      <w:r>
        <w:rPr/>
        <w:t>о 44</w:t>
      </w:r>
      <w:r>
        <w:rPr>
          <w:color w:val="FF0000"/>
        </w:rPr>
        <w:t xml:space="preserve"> </w:t>
      </w:r>
      <w:r>
        <w:rPr/>
        <w:t>и</w:t>
      </w:r>
      <w:r>
        <w:rPr>
          <w:color w:val="auto"/>
        </w:rPr>
        <w:t>ндикаторам направлений (блокам мероприятий) из 53 установленных);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 xml:space="preserve">реализовано в установленные сроки </w:t>
      </w:r>
      <w:r>
        <w:rPr/>
        <w:t>52</w:t>
      </w:r>
      <w:r>
        <w:rPr>
          <w:color w:val="FF0000"/>
        </w:rPr>
        <w:t xml:space="preserve"> </w:t>
      </w:r>
      <w:r>
        <w:rPr>
          <w:color w:val="auto"/>
        </w:rPr>
        <w:t>запланированных мероприятия</w:t>
        <w:br/>
        <w:t>(из 55 установленных мероприятий).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</w:r>
    </w:p>
    <w:p>
      <w:pPr>
        <w:pStyle w:val="BodyText2"/>
        <w:tabs>
          <w:tab w:val="clear" w:pos="708"/>
          <w:tab w:val="left" w:pos="720" w:leader="none"/>
        </w:tabs>
        <w:ind w:firstLine="720"/>
        <w:rPr>
          <w:color w:val="auto"/>
        </w:rPr>
      </w:pPr>
      <w:r>
        <w:rPr>
          <w:b/>
        </w:rPr>
        <w:t xml:space="preserve">Цель 1. Ускорение товародвижения на основе повышения индекса качества транспортной инфраструктуры на 15,5 процента </w:t>
        <w:br/>
        <w:t>относительно уровня 2017 года</w:t>
      </w:r>
    </w:p>
    <w:p>
      <w:pPr>
        <w:pStyle w:val="BodyText2"/>
        <w:tabs>
          <w:tab w:val="clear" w:pos="708"/>
          <w:tab w:val="left" w:pos="720" w:leader="none"/>
        </w:tabs>
        <w:ind w:firstLine="720"/>
        <w:rPr/>
      </w:pPr>
      <w:r>
        <w:rPr/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b/>
        </w:rPr>
        <w:t>Значение целевого показателя, установленное на 2021 год, достигнуто.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Индекс качества транспортной инфраструктуры относительно уровня</w:t>
        <w:br/>
        <w:t>2017 года составил 103,5 %</w:t>
      </w:r>
      <w:r>
        <w:rPr>
          <w:rStyle w:val="Style16"/>
        </w:rPr>
        <w:footnoteReference w:id="8"/>
      </w:r>
      <w:r>
        <w:rPr/>
        <w:t xml:space="preserve"> (план − 103,5 %).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В 2021 году достигнуты и превышены плановые значения по 13 индикаторам направлений (блокам мероприятий) Плана-графика из 14 установленных в рамках</w:t>
        <w:br/>
        <w:t>цели 1, реализовано в установленные сроки 11 предусмотренных мероприятий</w:t>
        <w:br/>
        <w:t>(из 11 установленных).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 xml:space="preserve">Направление (блок мероприятий) 1.1. Развитие инфраструктуры железнодорожного транспорта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транзитные перевозки контейнеров железнодорожным транспортом составили 1116,1 тыс. штук в двадцатифутовом эквиваленте</w:t>
      </w:r>
      <w:r>
        <w:rPr>
          <w:rStyle w:val="Style16"/>
        </w:rPr>
        <w:footnoteReference w:id="9"/>
      </w:r>
      <w:r>
        <w:rPr/>
        <w:t xml:space="preserve"> </w:t>
        <w:br/>
        <w:t>(план − 850 тыс. штук в двадцатифутовом эквиваленте), сроки доставки транзитных контейнерных перевозок на направлении «Европа − Западный Китай» (Красное − Илецк, Озинки, Карталы, Петропавловск) составили 2,1 суток (план − 2,2 суток), сроки доставки транзитных контейнерных перевозок на направлении «Север − Юг» (Красное, порты и погранпереходы Северо-Запада − Самур) составили 2,5 суток (план − 2,5 суток), сроки доставки транзитных контейнерных перевозок</w:t>
        <w:br/>
        <w:t>на направлении «Запад − Восток» (Красное, порты и погранпереходы Северо-Запада − Наушки, Забайкальск, порты и погранпереходы Дальнего Востока) составили</w:t>
        <w:br/>
        <w:t>7,1 суток (план − 8 суток), суммарная провозная способность Байкало-Амурской</w:t>
        <w:br/>
        <w:t>и Транссибирской железнодорожных магистралей составила 144 млн. тонн</w:t>
        <w:br/>
        <w:t>(план − 144 млн. тонн), суммарная провозная способность участков  к морским портам Азово-Черноморского бассейна составила 125,1 млн. тонн (план − 125,1 млн. тонн), суммарная провозная способность участков на подходах к Саратовскому узлу Приволжской железной дороги составила 75,6 млн. тонн (план − 75,6 млн. тонн), суммарная провозная способность участков на подходах  к морским портам</w:t>
        <w:br/>
        <w:t>Северо-Западного бассейна составила 145,6 млн. тонн (план − 145,6 млн. тонн).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в рамках реализации мероприятий проектов транспортной части комплексного плана модернизации и расширения магистральной инфраструктуры</w:t>
        <w:br/>
        <w:t>на период до 2024 года и государственной программы Российской Федерации «Развитие транспортной системы» введено в эксплуатацию 195,3 км дополнительных главных путей и новых железнодорожных линий.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В 2021 году в рамках федерального проекта «Развитие железнодорожной инфраструктуры Восточного полигона железных дорог»: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завершено строительство нового Байкальского тоннеля;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завершено строительство второго пути на перегоне Кутыкан – Кувыкта Дальневосточной железной дороги;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открыто движение по электрифицированному участку Борзя – Забайкальск протяженностью 120 км;</w:t>
      </w:r>
    </w:p>
    <w:p>
      <w:pPr>
        <w:pStyle w:val="Normal"/>
        <w:widowControl w:val="false"/>
        <w:tabs>
          <w:tab w:val="clear" w:pos="708"/>
          <w:tab w:val="left" w:pos="0" w:leader="none"/>
        </w:tabs>
        <w:ind w:firstLine="720"/>
        <w:jc w:val="both"/>
        <w:rPr>
          <w:color w:val="auto"/>
        </w:rPr>
      </w:pPr>
      <w:r>
        <w:rPr>
          <w:color w:val="auto"/>
          <w:sz w:val="28"/>
        </w:rPr>
        <w:t>завершено строительство мостового перехода четного пути через р. Зею</w:t>
        <w:br/>
        <w:t>на км 7 817 участка Сковородино – Белогорск Забайкальской железной дороги.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В рамках федерального проекта «Развитие железнодорожных подходов</w:t>
        <w:br/>
        <w:t>к морским портам Северо-Западного бассейна» в 2021 году: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завершено строительство железнодорожных путей на участке Лужская-Сортировочная – Лужская-Восточная – Лужская-Генеральная;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завершена реконструкция 6 тяговых подстанций: Ацвеж, Шабалино, Поназырево, Уйта, км 75, Новый Быт;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введены в эксплуатацию разъезды км 50 и Турышкино на участке</w:t>
        <w:br/>
        <w:t>Посадниково – Мга.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В рамках федерального проекта «Развитие железнодорожных подходов</w:t>
        <w:br/>
        <w:t>к морским портам Азово-Черноморского бассейна» в 2021 году: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rFonts w:eastAsia="Calibri" w:cs="Times New Roman"/>
          <w:color w:val="auto"/>
          <w:szCs w:val="28"/>
        </w:rPr>
        <w:t>введено в эксплуатацию 82,6 км главных вторых путей, в том числе открыто движение по вторым главным путям на перегонах Горнополянский – Канальная, Выселки – Козырьки, Тихорецкая – Газырь, Газырь – Бурсак, Бурсак  – Выселки. Таким образом, полностью завершено строительство двухпутного хода на всем участке Котельниковского хода</w:t>
      </w:r>
      <w:r>
        <w:rPr>
          <w:color w:val="auto"/>
        </w:rPr>
        <w:t>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завершен первый этап создания сухогрузного района морского порта Тамань – объекты железнодорожной инфраструктуры федеральной собственности, обеспечивающие подход к транспортному переходу через Керченский пролив;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открыто грузовое и пассажирское движение поездов по мосту через р. Ахтубу на км 1 485 участка Аксарайская – Трусово Приволжской железной дороги.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1.2. Развитие инфраструктуры внутреннего водного транспорта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В 2021 году доля судоходных гидротехнических сооружений, подлежащих декларированию безопасности, имеющих опасный и неудовлетворительный уровень безопасности, составила 8,8 % (план − 8,8 %).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color w:val="auto"/>
        </w:rPr>
        <w:t>В 2021 году в соответствии с федеральной адресной инвестиционной программой было запланировано введение в эксплуатацию 3 объектов.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Введен в эксплуатацию 1 объект − несамоходный землесос</w:t>
        <w:br/>
        <w:t>класса «О 2, (лед 10)А» проекта № 4395.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Завершено строительство 2 объектов Волго-Донского судоходного канала.</w:t>
        <w:br/>
        <w:t>С учетом установленных Ростехнадзором сроков проведения итоговых проверок разрешение на ввод объектов планируется получить в феврале 2022 года.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Также в 2021 году завершены проектно-изыскательские работы по 5 объектам: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разработка и реализация комплексного проекта реконструкции гидросооружений Беломорско-Балтийского канала. Плотина № 23;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разработка и реализация комплексного проекта реконструкции гидротехнических сооружений и водных путей Енисейского бассейна I этап</w:t>
        <w:br/>
        <w:t>(2 очередь);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разработка и реализация комплексного проекта реконструкции гидротехнических сооружений и водных путей Енисейского бассейна. Модернизация ремонтно-отстойного пункта Кызылского прорабства;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разработка и реализация комплексного проекта реконструкции гидротехнических сооружений и водных путей Енисейского бассейна. Модернизация ремонтно-отстойного пункта «Рыбное» на р. Ангара;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разработка и реализация комплексного проекта реконструкции гидротехнических сооружений и водных путей Енисейского бассейна. Модернизация Симоновских ремонтно-механических мастерских в г. Енисейск.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1.3. Развитие сети автомобильных дорог федерального значения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сфере развития дорожной сети на автомобильных дорогах общего пользования федерального значения после завершения строительства</w:t>
        <w:br/>
        <w:t>и реконструкции в 2021 году в рамках национального проекта «Безопасные качественные дороги» осуществлен ввод в эксплуатацию участков общей протяженностью 290 км (план − 244,9 км), в том числе Росавтодор − 153 км, Государственная компания «Автодор» − 137 км.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Следует отметить наиболее значимые мероприятия, завершенные в 2021 году</w:t>
        <w:br/>
        <w:t>в рамках федерального проекта «Развитие федеральной магистральной сети»: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строительство пускового комплекса № 1 Центральной кольцевой автомобильной дороги Московской области;</w:t>
      </w:r>
    </w:p>
    <w:p>
      <w:pPr>
        <w:pStyle w:val="Normal"/>
        <w:ind w:firstLine="720"/>
        <w:jc w:val="both"/>
        <w:rPr/>
      </w:pPr>
      <w:r>
        <w:rPr>
          <w:sz w:val="28"/>
        </w:rPr>
        <w:t>реконструкция автомобильной дороги общего пользования федерального значения М-4 «Дон» Москва – Воронеж – Ростов-на-Дону – Краснодар – Новороссийск км 275 – км 287, Тульская область (досрочный ввод в эксплуатацию);</w:t>
      </w:r>
    </w:p>
    <w:p>
      <w:pPr>
        <w:pStyle w:val="Normal"/>
        <w:ind w:firstLine="720"/>
        <w:jc w:val="both"/>
        <w:rPr/>
      </w:pPr>
      <w:r>
        <w:rPr>
          <w:sz w:val="28"/>
        </w:rPr>
        <w:t>реконструкция автомобильной дороги общего пользования федерального значения М-1 «Беларусь» Москва – граница с Республикой Белоруссия км 44 –</w:t>
        <w:br/>
        <w:t>км 66, Московская область;</w:t>
      </w:r>
    </w:p>
    <w:p>
      <w:pPr>
        <w:pStyle w:val="Normal"/>
        <w:ind w:firstLine="720"/>
        <w:jc w:val="both"/>
        <w:rPr/>
      </w:pPr>
      <w:r>
        <w:rPr>
          <w:sz w:val="28"/>
        </w:rPr>
        <w:t>строительство обхода г. Мариинска, автомобильной дороги Р-255 «Сибирь» Новосибирск – Кемерово – Красноярск – Иркутск, Кемеровская область;</w:t>
      </w:r>
    </w:p>
    <w:p>
      <w:pPr>
        <w:pStyle w:val="Normal"/>
        <w:ind w:firstLine="720"/>
        <w:jc w:val="both"/>
        <w:rPr/>
      </w:pPr>
      <w:r>
        <w:rPr>
          <w:sz w:val="28"/>
        </w:rPr>
        <w:t>обход ж/д станции Сенная на автомобильной дороге Р-228 Сызрань – Саратов – Волгоград, Саратовская область;</w:t>
      </w:r>
    </w:p>
    <w:p>
      <w:pPr>
        <w:pStyle w:val="Normal"/>
        <w:ind w:firstLine="720"/>
        <w:jc w:val="both"/>
        <w:rPr/>
      </w:pPr>
      <w:r>
        <w:rPr>
          <w:sz w:val="28"/>
        </w:rPr>
        <w:t>реконструкция моста через р. Ардон на км 33 + 500 автомобильной дороги Владикавказ – Алагир, Республика Северная Осетия-Алания;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реконструкция автомобильной дороги А-157 Минеральные Воды (аэропорт) – Кисловодск на участке км 36 – км 46, Ставропольский край.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b/>
          <w:i/>
        </w:rPr>
        <w:t>Направление (блок мероприятий) 1.4. Организация развития скоростных автомобильных дорог на условиях государственно-частного партнерства</w:t>
      </w:r>
    </w:p>
    <w:p>
      <w:pPr>
        <w:pStyle w:val="Normal"/>
        <w:ind w:firstLine="720"/>
        <w:jc w:val="both"/>
        <w:rPr/>
      </w:pPr>
      <w:r>
        <w:rPr>
          <w:sz w:val="28"/>
        </w:rPr>
        <w:t>В 2021 году обеспечено строительство 49,5 км автомобильных дорог федерального значения на условиях государственно-частного партнерства</w:t>
        <w:br/>
        <w:t>(план – 49,5 км). В рамках заключенных Государственной компанией «Автодор» инвестиционных соглашений на принципах государственно-частного партнерства введен в эксплуатацию пусковой комплекс № 1 Центральной кольцевой автомобильной дороги Московской области.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b/>
          <w:i/>
        </w:rPr>
        <w:t>Направление (блок мероприятий) 1.5. Обеспечение функционирования сети</w:t>
      </w:r>
      <w:r>
        <w:rPr>
          <w:b/>
          <w:sz w:val="24"/>
        </w:rPr>
        <w:t xml:space="preserve"> </w:t>
      </w:r>
      <w:r>
        <w:rPr>
          <w:b/>
          <w:i/>
        </w:rPr>
        <w:t>автомобильных дорог федерального значения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протяженность автомобильных дорог общего</w:t>
        <w:br/>
        <w:t>пользования федерального значения, соответствующих нормативным</w:t>
        <w:br/>
        <w:t>требованиям к транспортно-эксплуатационным показателям, составила</w:t>
        <w:br/>
        <w:t>48 710,3 км (план − 51 238 км).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Плановое значение не достигнуто в связи с увеличением протяженности федеральной сети за счет приема в 2021 году в федеральную собственность</w:t>
        <w:br/>
        <w:t>3399,5 км автомобильных дорог различных форм собственности и формирования новых автомобильных дорог, в том числе А-291 «Таврида» Керчь – Симферополь – Севастополь на территории Республики Крым, А-393 Южно-Сахалинск – Оха</w:t>
        <w:br/>
        <w:t>на территории Сахалинской области, А-123 Чекшино – Тотьма – Котлас – Куратово на территории Архангельской, Вологодской областей и Республики Коми,</w:t>
        <w:br/>
        <w:t>Р-229 Самара – Пугачев – Энгельс – Волгоград на территории Самарской, Саратовской и Волгоградской областей, обхода г. Оренбурга, подъездов</w:t>
        <w:br/>
        <w:t xml:space="preserve">к г. Петрозаводску, аэропорту г. Читы. </w:t>
      </w:r>
    </w:p>
    <w:p>
      <w:pPr>
        <w:pStyle w:val="Normal"/>
        <w:ind w:firstLine="720"/>
        <w:jc w:val="both"/>
        <w:rPr/>
      </w:pPr>
      <w:r>
        <w:rPr>
          <w:sz w:val="28"/>
        </w:rPr>
        <w:t>На автомобильных дорогах федерального значения, находящихся</w:t>
        <w:br/>
        <w:t xml:space="preserve">в управлении федеральных казенных учреждений, подведомственных Росавтодору, в 2021 году завершены работы по капитальному ремонту и ремонту автомобильных дорог федерального значения на участках общей протяженностью 6 067 км.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Выполненный государственной компанией «Автодор» в 2021 году объем работ по капитальному ремонту и ремонту автомобильных дорог федерального значения составил 400,6 км.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b/>
          <w:i/>
        </w:rPr>
        <w:t>Направление (блок мероприятий) 1.6. Содействие развитию автомобильных дорог регионального или межмуниципального и местного значения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обеспечены строительство и реконструкция 346 км автомобильных дорог регионального или межмуниципального и местного значения (план − 336,7 км).</w:t>
      </w:r>
    </w:p>
    <w:p>
      <w:pPr>
        <w:pStyle w:val="Normal"/>
        <w:ind w:firstLine="720"/>
        <w:jc w:val="both"/>
        <w:rPr>
          <w:color w:val="auto"/>
        </w:rPr>
      </w:pPr>
      <w:r>
        <w:rPr>
          <w:color w:val="auto"/>
          <w:sz w:val="28"/>
        </w:rPr>
        <w:t>Содействие развитию автомобильных дорог регионального или межмуниципального и местного значения осуществлялось в 2021 году в рамках ведомственной целевой программы «Содействие развитию автомобильных дорог регионального, межмуниципального и местного значения» и федерального проекта «Региональная и местная дорожная сеть» национального проекта «Безопасные качественные дороги».</w:t>
      </w:r>
    </w:p>
    <w:p>
      <w:pPr>
        <w:pStyle w:val="Normal"/>
        <w:ind w:firstLine="720"/>
        <w:jc w:val="both"/>
        <w:rPr>
          <w:color w:val="auto"/>
        </w:rPr>
      </w:pPr>
      <w:r>
        <w:rPr>
          <w:color w:val="auto"/>
          <w:sz w:val="28"/>
        </w:rPr>
        <w:t>Протяженность введенных в эксплуатацию участков автомобильных дорог</w:t>
        <w:br/>
        <w:t>в рамках ведомственной целевой программы «Содействие развитию автомобильных дорог регионального, межмуниципального и местного значения» составила 236 км,</w:t>
        <w:br/>
        <w:t>в рамках федерального проекта «Региональная и местная дорожная сеть» − 110 км.</w:t>
      </w:r>
    </w:p>
    <w:p>
      <w:pPr>
        <w:pStyle w:val="BodyText2"/>
        <w:tabs>
          <w:tab w:val="clear" w:pos="708"/>
          <w:tab w:val="left" w:pos="720" w:leader="none"/>
        </w:tabs>
        <w:rPr>
          <w:b/>
          <w:b/>
        </w:rPr>
      </w:pPr>
      <w:r>
        <w:rPr>
          <w:b/>
        </w:rPr>
      </w:r>
    </w:p>
    <w:p>
      <w:pPr>
        <w:pStyle w:val="BodyText2"/>
        <w:widowControl w:val="false"/>
        <w:tabs>
          <w:tab w:val="clear" w:pos="708"/>
          <w:tab w:val="left" w:pos="720" w:leader="none"/>
        </w:tabs>
        <w:rPr>
          <w:b/>
          <w:b/>
        </w:rPr>
      </w:pPr>
      <w:r>
        <w:rPr>
          <w:b/>
        </w:rPr>
        <w:t xml:space="preserve">Цель 2. Повышение доступности качественных транспортных услуг </w:t>
        <w:br/>
        <w:t>для обеспечения транспортной подвижности населения</w:t>
        <w:br/>
        <w:t xml:space="preserve"> на уровне 9,5 тыс. пасс.-км на 1 жителя</w:t>
      </w:r>
    </w:p>
    <w:p>
      <w:pPr>
        <w:pStyle w:val="BodyText2"/>
        <w:widowControl w:val="false"/>
        <w:tabs>
          <w:tab w:val="clear" w:pos="708"/>
          <w:tab w:val="left" w:pos="720" w:leader="none"/>
        </w:tabs>
        <w:rPr>
          <w:b/>
          <w:b/>
        </w:rPr>
      </w:pPr>
      <w:r>
        <w:rPr>
          <w:b/>
        </w:rPr>
      </w:r>
    </w:p>
    <w:p>
      <w:pPr>
        <w:pStyle w:val="BodyText2"/>
        <w:widowControl w:val="false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b/>
        </w:rPr>
        <w:t>Значение целевого показателя, установленное на 2021 год, достигнуто.</w:t>
      </w:r>
    </w:p>
    <w:p>
      <w:pPr>
        <w:pStyle w:val="BodyText2"/>
        <w:widowControl w:val="false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Транспортная подвижность населения составила 8 тыс. пасс.-км на 1 человека</w:t>
      </w:r>
      <w:r>
        <w:rPr>
          <w:rStyle w:val="Style16"/>
        </w:rPr>
        <w:footnoteReference w:id="10"/>
      </w:r>
      <w:r>
        <w:rPr/>
        <w:t xml:space="preserve"> (план − 8 тыс. пасс.-км на 1 человека).</w:t>
      </w:r>
    </w:p>
    <w:p>
      <w:pPr>
        <w:pStyle w:val="BodyText2"/>
        <w:widowControl w:val="false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В 2021 году достигнуты и превышены плановые значения по</w:t>
      </w:r>
      <w:r>
        <w:rPr/>
        <w:t xml:space="preserve"> 11 индикаторам направлений (блока мероприятий) Плана-графика из 15 установленн</w:t>
      </w:r>
      <w:r>
        <w:rPr>
          <w:color w:val="auto"/>
        </w:rPr>
        <w:t>ых в рамках</w:t>
        <w:br/>
        <w:t>цели 2, реализовано в установленные сроки 14 предусмотренных мероприятий</w:t>
        <w:br/>
        <w:t>(из 14 установленных).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2.1. Обеспечение потребности</w:t>
        <w:br/>
        <w:t>в перевозках пассажиров железнодорожным транспортом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обеспечена транспортная подвижность населения</w:t>
        <w:br/>
        <w:t>на железнодорожном транспорте на уровне 712,9 пасс.-км на 1 жителя</w:t>
        <w:br/>
        <w:t>(план − 878 пасс.-км на 1 жителя). Снижение показателя обусловлено введением субъектами Российской Федерации ограничений, направленных на предотвращение распространения новой коронавирусной инфекции (COVID-19).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пассажиропоток в пригородном железнодорожном сообщении Центрального транспортного узла составил 706,9 млн. пассажиров в год</w:t>
        <w:br/>
        <w:t>(план − 672,1 млн. пассажиров в год).</w:t>
      </w:r>
    </w:p>
    <w:p>
      <w:pPr>
        <w:pStyle w:val="Normal"/>
        <w:spacing w:before="0" w:after="0"/>
        <w:ind w:firstLine="720"/>
        <w:contextualSpacing/>
        <w:jc w:val="both"/>
        <w:rPr>
          <w:color w:val="auto"/>
        </w:rPr>
      </w:pPr>
      <w:r>
        <w:rPr>
          <w:color w:val="auto"/>
          <w:sz w:val="28"/>
        </w:rPr>
        <w:t>В рамках федерального проекта «Развитие железнодорожной инфраструктуры Центрального транспортного узла» транспортной части комплексного плана модернизации и расширения магистральной инфраструктуры на период до 2024 года в 2021 году завершены реконструкция остановочных пунктов Баковка, Внуково, Кокошкино, пассажирской инфраструктуры на станции Апрелевка, остановочного пункта Матвеевская, строительство II главного пути Реутово – Балашиха, терминала Черкизово Восточного вокзального комплекса, остановочного пункта Щукинская,</w:t>
        <w:br/>
        <w:t>а также открыт новый остановочный пункт Аминьевская.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в дальнем следовании отправлено 91,9 млн. человек</w:t>
        <w:br/>
        <w:t>(план − 128,7 млн. человек), в том числе в регулируемом государственном секторе − 49,6 млн. человек (план − 59 млн. человек), объем транспортной работы</w:t>
        <w:br/>
        <w:t>в пригородном сообщении составил 1361 млн. ваг.-км (план − 1301,8 млн. ваг.-км). Снижение объемов перевозок обусловлено введением субъектами Российской Федерации ограничений, направленных на предотвращение распространения новой коронавирусной инфекции (COVID-19).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szCs w:val="28"/>
        </w:rPr>
      </w:pPr>
      <w:r>
        <w:rPr/>
        <w:t>В 2021 году объем пассажирских перевозок (пассажирооборот) на Крымском полуострове составил 617 млн. пасс.-км (план − 478,8 млн. пасс.-км), грузовых перевозок (грузооборот) − 1218,57 млн. т-км (план − 1462,83 млн. т-км). Снижение</w:t>
        <w:br/>
        <w:t xml:space="preserve">на Крымском полуострове показателя просроченности ремонтами  пути в 2021 году составило 32,24 % (план − 24,58 %). </w:t>
      </w:r>
      <w:r>
        <w:rPr>
          <w:szCs w:val="28"/>
        </w:rPr>
        <w:t>Вместе с тем в соответствии с дополнительным соглашением между Росжелдором и ФГУП «Крымская железная дорога»</w:t>
        <w:br/>
        <w:t>от 30 декабря 2021 г. № 5 к соглашению о предоставлении из федерального бюджета субсидии ФГУП «Крымская железная дорога» от 3 февраля 2021 г.</w:t>
        <w:br/>
        <w:t>№ 109-11-2021-015 в 2021 году значение показателя «Объем грузовых перевозок (грузооборот) на Крымском полуострове, млн. т-км» скорректировано до уровня 1190,82 млн. т-км, значение показателя «Снижение на Крымском полуострове показателя просроченности ремонтами  пути, %» − до уровня 32,27 %. Таким образом, по указанным показателям плановые значения достигнуты.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2.2. Обеспечение потребности</w:t>
        <w:br/>
        <w:t>в перевозках пассажиров воздушным транспортом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обеспечена авиационная подвижность населения на уровне</w:t>
        <w:br/>
        <w:t>0,76 полета на 1 человека в год (план − 0,57 полета на 1 человека в год),</w:t>
        <w:br/>
        <w:t>объем пассажирских перевозок по маршрутам, минуя г. Москву, составил</w:t>
        <w:br/>
        <w:t>29,8 млн. пассажиров (план − 13,65 млн. пассажиров), количество субсидированных региональных регулярных авиационных рейсов (выполняемых не менее,</w:t>
        <w:br/>
        <w:t>чем по 175 маршрутам внутренних воздушных линий) составило 47 213 единиц</w:t>
        <w:br/>
        <w:t>(план − 46 445 единиц), доля межрегиональных регулярных пассажирских авиационных рейсов (маршрутов), минуя г. Москву, в общем количестве внутренних регулярных маршрутов составила 46,3 % (план − 44 %).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 xml:space="preserve">В 2021 году для обеспечения доступности авиаперевозок действовало четыре программы государственной поддержки: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Правила предоставления субсидий из федерального бюджета организациям воздушного транспорта в целях обеспечения доступности воздушных перевозок населению, утвержденные постановлением Правительства Российской Федерации</w:t>
        <w:br/>
        <w:t xml:space="preserve">от 2 марта 2018 г. № 215;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 xml:space="preserve">Правила предоставления субсидий из федерального бюджета организациям воздушного транспорта на осуществление региональных воздушных перевозок пассажиров на территории Российской Федерации и формирование региональной маршрутной сети, утвержденные постановлением Правительства Российской Федерации от 25 декабря 2013 г. № 1242;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Правила предоставления в 2021 году субсидий из федерального бюджета организациям воздушного транспорта на осуществление воздушных перевозок пассажиров по социально значимым маршрутам Дальневосточного федерального округа, утвержденные постановлением Правительства Российской Федерации</w:t>
        <w:br/>
        <w:t xml:space="preserve">от 13 июля 2021 г. № 1172;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 xml:space="preserve">Правила предоставления в 2021 году субсидий из федерального бюджета организациям на компенсацию потерь в доходах, возникающих в результате установления льгот по тарифам на осуществление семейных поездок пассажиров воздушным транспортом в целях повышения конкурентоспособности внутреннего туристического продукта, утвержденные постановлением Правительства Российской Федерации от 14 июля 2021 г. № 1176.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Всего на субсидирование воздушных перевозок на конец 2021 года было выделено 21 240 301 тыс. рублей. В рамках всех программ субсидирования</w:t>
        <w:br/>
        <w:t>по итогам 2021 года перевезено 4 406 670 пассажиров.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 xml:space="preserve">За 2021 год осуществлено 1,52 тыс. самолето-вылетов из аэропортов, расположенных в районах Крайнего Севера и приравненных к ним местностях, охваченных государственной поддержкой. Осуществлено 38,98 тыс. самолето-вылетов из аэропортов, входящих в состав федеральных казенных предприятий.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Программа субсидирования аэропортов, находящихся в районах Крайнего Севера и приравненных к ним местностях, Росавиацией осуществлялась</w:t>
        <w:br/>
        <w:t xml:space="preserve">в соответствии с положениями постановления Правительства Российской Федерации от 9 февраля 2018 г. № 135 «Об утверждении Правил предоставления субсидий из федерального бюджета аэропортам, расположенным в районах Крайнего Севера и приравненных к ним местностях, и о признании утратившими силу некоторых актов Правительства Российской Федерации».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Данная мера государственной поддержки направлена на сдерживание роста тарифов на аэропортовые услуги в аэропортах, расположенных в районах Крайнего Севера и приравненных к ним местностях, путем предоставления субсидии, направленной на частичную компенсацию убытков, связанных с оказанием аэропортовых услуг по обеспечению посадки и вылета воздушных судов</w:t>
        <w:br/>
        <w:t>по сниженной ставке в размере 820 рублей за тонну максимальной взлетной массы.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Получателем может стать организация, эксплуатирующая аэродромы, находящиеся в федеральной собственности (за исключением федеральных казенных предприятий), которая оказывает не более 3700 услуг по взлету-посадке</w:t>
        <w:br/>
        <w:t xml:space="preserve">на аэродроме.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 xml:space="preserve">В 2021 году получателем субсидии было предприятие ООО «Аэропорт Байкал (Улан-Удэ)». Размер предоставленной субсидии составил 9 млн. рублей.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Данная форма государственной поддержки сокращается в связи с включением значительного количества местных аэродромов в состав федеральных казенных предприятий либо передачей аэродромного имущества в собственность субъектов Российской Федерации. Так, в 2020 году было 2 получателя субсидии</w:t>
        <w:br/>
        <w:t xml:space="preserve">(АО «Комсомольский-на-Амуре аэропорт», ООО «Аэропорт Байкал (Улан-Удэ)»).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целях сохранения и развития наземной аэропортовой инфраструктуры труднодоступных и северных территорий реализовывается программа субсидирования федеральных казенных предприятий, созданных на базе аэропортов регионального и местного значения. Субсидии предоставляются в соответствии</w:t>
        <w:br/>
        <w:t>с постановлением Правительства Российской Федерации от 2 сентября 2020 г.</w:t>
        <w:br/>
        <w:t xml:space="preserve">№ 1339 «Об утверждении Правил предоставления субсидий из федерального бюджета федеральным казенным предприятиям, расположенным в районах Крайнего Севера и приравненных к ним местностях».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 xml:space="preserve">Реализация данного мероприятия направлена на решение проблемы обеспечения финансирования предприятий аэропортовой деятельности, находящихся в регионах, удаленных от основных авиатранспортных потоков, многие из которых характеризуются суровыми климатическими условиями, низкой плотностью населения и расположены в регионах Крайнего Севера и Арктической зоне Российской Федерации.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Указанные предприятия расположены в таких районах, где авиация является безальтернативным видом транспорта, являются важными социально значимыми объектами авиатранспортной инфраструктуры, обеспечивающими связанность территории страны. В настоящее время государство обеспечивает в составе                  7 федеральных казенных предприятий («Аэропорты Севера», «Аэропорты Камчатки», «Аэропорты Чукотки», «Аэропорты Красноярья», «Аэропорт Амдерма», «Аэропорты Дальнего Востока», «Аэропорт Кызыл») текущее содержание</w:t>
        <w:br/>
        <w:t>и развитие 81 местного аэропорта и посадочных площадок, расположенных</w:t>
        <w:br/>
        <w:t xml:space="preserve">в районах Арктики, Дальнего Востока, Крайнего Севера и приравненных к ним местностях.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Объем предоставленных субсидий в 2021 году составил 4,13 млрд. рублей</w:t>
        <w:br/>
        <w:t xml:space="preserve">(100 % от плана).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основными результатами деятельности казенных предприятий аэропортового профиля являлись: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сохранение и развитие сети аэропортов местных воздушных линий</w:t>
        <w:br/>
        <w:t>и посадочных площадок, включая приведение большинства аэропортов</w:t>
        <w:br/>
        <w:t xml:space="preserve">в соответствие сертификационным требованиям;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сохранение безальтернативного (в большинстве случаев) круглогодичного  транспортного сообщения в населенных пунктах районов Крайнего Севера</w:t>
        <w:br/>
        <w:t xml:space="preserve">и приравненных к ним местностях, обеспечивающего реализацию конституционных прав граждан на свободу перемещения;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сдерживание роста величины ставок сборов и тарифов на относительно низком уровне, что благоприятно отражается на транспортной доступности регионов Крайнего Севера и Дальнего Востока и тормозит рост расходов региональных бюджетов субъектов Российской Федерации, направляемых</w:t>
        <w:br/>
        <w:t>на субсидирование авиакомпаний, выполняющих социально значимые перевозки</w:t>
        <w:br/>
        <w:t>в труднодоступных районах Крайнего Севера и приравненных к ним местностях.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/>
        <w:t>В 2021 году в рамках федерального проекта «Развитие региональных аэропортов» транспортной части комплексного плана модернизации и расширения магистральной инфраструктуры на период до 2024 года реконструировалось</w:t>
        <w:br/>
        <w:t xml:space="preserve">56 аэропортов (в том числе 4 аэропорта, находящиеся в собственности субъектов Российской Федерации (Грозный (аэровокзал), Соловки, Великий Устюг и Чара).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color w:val="auto"/>
        </w:rPr>
        <w:t>Объем бюджетных ассигнований, предусмотренный на реализацию</w:t>
      </w:r>
      <w:r>
        <w:rPr/>
        <w:t xml:space="preserve"> федерального проекта из средств федерального бюджета в 2021 году, составил</w:t>
        <w:br/>
        <w:t xml:space="preserve">18 779,7 млн. рублей.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Паспортом федерального проекта «Развитие региональных аэропортов»</w:t>
        <w:br/>
        <w:t xml:space="preserve">в 2021 году предусмотрено достижение результатов по вводу в эксплуатацию после реконструкции 5 аэропортов (Минеральные Воды, Верхневилюйск, Жиганск, Красноярск (МРД), Великий Устюг).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 xml:space="preserve">В настоящее время завершена в полном объеме реконструкция 4 аэропортов, которые введены в эксплуатацию.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 xml:space="preserve">Завершена реконструкция в аэропортах Верхневилюйск, Красноярск (МРД), Жиганск. Предусмотренный паспортом федерального проекта к вводу в 2021 году аэропорт Минеральные Воды введен в 2020 году.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В аэропорту Великий Устюг строительно-монтажные работы завершены</w:t>
        <w:br/>
        <w:t>в полном объеме. В связи с выявлением замечаний по результатам итоговой проверки Ростехнадзора и невыполнением до настоящего времени обязательств</w:t>
        <w:br/>
        <w:t xml:space="preserve">по их устранению правительством Вологодской области срок ввода в эксплуатацию объекта перенесен на 2022 год.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Также в соответствии с паспортом федерального проекта «Развитие региональных аэропортов» в 2021 году запланирован ввод 2 взлетно-посадочных полос (Соловки, Великий Устюг).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Предусмотренная паспортом федерального проекта к вводу в 2021 году взлетно-посадочная полоса в аэропорту Соловки введена в 2020 году.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За счет опережающего хода выполнения строительно-монтажных работ завершена реконструкция взлетно-посадочных полос в аэропортах Жиганск, Нерюнгри, Олекминск.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Реконструированная взлетно-посадочная полоса в аэропорту Великий Устюг будет введена в эксплуатацию после выполнения обязательств правительством Вологодской области по устранению замечаний Ростехнадзора.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рамках ведомственного проекта «Развитие инфраструктуры воздушного транспорта» завершены мероприятия по реконструкции и введены в эксплуатацию объекты аэродромной инфраструктуры в аэропортах Бомнак, Шереметьево</w:t>
        <w:br/>
        <w:t>(1-я очередь реконструкции), Кольцово (г. Екатеринбург) и Нижний Новгород,</w:t>
        <w:br/>
        <w:t>в том числе введены в эксплуатацию после реконструкции взлетно-посадочные полосы в аэропортах Бомнак и Зея.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b/>
          <w:i/>
        </w:rPr>
        <w:t>Направление (блок мероприятий) 2.4. Обеспечение возможности перевозки пассажиров в прямом смешанном сообщении на территориях субъектов Российской Федерации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 xml:space="preserve">В 2021 году обеспечена возможность перевозки пассажиров по 36 маршрутам (план − 15 маршрутов) в прямом смешанном сообщении на территориях субъектов Российской Федерации, в том числе по 5 маршрутам с территории Краснодарского края на территорию Республики Абхазия и в обратном направлении.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результате данной деятельности в 2021 году перевезен 4 321 пассажир.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</w:r>
    </w:p>
    <w:p>
      <w:pPr>
        <w:pStyle w:val="BodyText2"/>
        <w:tabs>
          <w:tab w:val="clear" w:pos="708"/>
          <w:tab w:val="left" w:pos="720" w:leader="none"/>
        </w:tabs>
        <w:ind w:firstLine="720"/>
        <w:rPr>
          <w:b/>
          <w:b/>
        </w:rPr>
      </w:pPr>
      <w:r>
        <w:rPr>
          <w:b/>
        </w:rPr>
        <w:t>Цель 3. Повышение конкурентоспособности транспортной системы России на мировом рынке транспортных услуг и рост экспорта услуг транспортного комплекса до 20,5 млрд. долларов США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b/>
        </w:rPr>
        <w:t>Значение целевого показателя, установленное на 2021 год, достигнуто.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Экспорт транспортных услуг составил 13,6 млрд. долларов США</w:t>
      </w:r>
      <w:r>
        <w:rPr>
          <w:rStyle w:val="Style16"/>
        </w:rPr>
        <w:footnoteReference w:id="11"/>
      </w:r>
      <w:r>
        <w:rPr/>
        <w:br/>
        <w:t>(план − 13,6 млрд. долларов США).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В 2021 году достигнуты и превышены плановые значения по 6 индикаторам направлений (блока мероприятий) Плана-графика из 9 установленных в рамках</w:t>
        <w:br/>
        <w:t>цели 3, реализовано в установленные сроки 4 предусмотренных мероприятия</w:t>
        <w:br/>
        <w:t>(из 7 установленных).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3.1. Повышение конкурентоспособности международных транспортных коридоров и комплексное развитие крупных транспортных узлов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В 2021 году в связи со срывом срока реализации мероприятия «Лоцмейстерское судно ледового класса Ice3 проекта BLV03» пополнения флота</w:t>
        <w:br/>
        <w:t xml:space="preserve">не было (план − 2 единицы).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Завершение реализации указанного мероприятия планируется в срок</w:t>
        <w:br/>
        <w:t>до 31 марта 2022 г. по причине ограничений, вызванных пандемией новой коронавирусной инфекции COVID-2019, и действующих санкций в отношении</w:t>
        <w:br/>
        <w:t>АО «Зеленодольский завод им. Горького», находящегося в санкционном списке США. Данное обстоятельство наряду с временной приостановкой деятельности производителя двигателей в период пандемии привело к задержке выполнения платежных этапов «Монтаж главных двигателей и насосов в машинном отделении первого Судна», «Монтаж главных двигателей и насосов в машинном отделении второго Судна» и, как следствие, переносу сроков проведения ходовых испытаний судов.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3.2. Развитие инфраструктуры морского транспорта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color w:val="auto"/>
        </w:rPr>
        <w:t>В 2021 году реализовывался ряд инвестиционных проектов, в результате которых были увеличены производственные мощности морских портов</w:t>
        <w:br/>
        <w:t xml:space="preserve">на 19,1 млн. тонн (план − 40,3 млн. тонн):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строительство объектов портовой инфраструктуры в морском порту</w:t>
        <w:br/>
        <w:t>Усть-Луга (12 млн. тонн (этапы 1 и 2);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реконструкция гидротехнических сооружений: причала № 34, причала</w:t>
        <w:br/>
        <w:t>№ 35, подходного канала к причалам № 31−35, акватории причала № 34, акватории причала № 35 в морском порту Восточный (0,5 млн. тонн);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строительство и реконструкция объектов портовой инфраструктуры морского порта Темрюк (2,1 млн. тонн);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реконструкция объектов федеральной собственности в морском порту Певек (0,8 млн. тонн);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реконструкция зернового терминала АО «КСК» в порту Новороссийск</w:t>
        <w:br/>
        <w:t>(3,7 млн. тонн).</w:t>
      </w:r>
    </w:p>
    <w:p>
      <w:pPr>
        <w:pStyle w:val="BodyText2"/>
        <w:tabs>
          <w:tab w:val="clear" w:pos="708"/>
          <w:tab w:val="left" w:pos="785" w:leader="none"/>
        </w:tabs>
        <w:ind w:firstLine="709"/>
        <w:jc w:val="both"/>
        <w:rPr>
          <w:color w:val="auto"/>
        </w:rPr>
      </w:pPr>
      <w:r>
        <w:rPr>
          <w:color w:val="auto"/>
        </w:rPr>
        <w:t>Недостижение показателя обусловлено невводом в эксплуатацию объекта «Таманский терминал навалочных грузов» в связи с выявленными замечаниями</w:t>
        <w:br/>
        <w:t>в ходе проведения в декабре 2021 г. итоговых проверок со стороны Ростехнадзора и Росприроднадзора. Разрешение на ввод объекта в эксплуатацию получено</w:t>
        <w:br/>
        <w:t>26 января 2022 г. Прирост производственной мощности объекта составил</w:t>
        <w:br/>
        <w:t>25 млн. тонн.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>
          <w:b/>
          <w:i/>
        </w:rPr>
        <w:t>Направление (блок мероприятий) 3.3. Обустройство и обеспечение функционирования пунктов пропуска через государственную границу</w:t>
        <w:br/>
        <w:t>Российской Федерации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>В 2021 году обеспечена пропускная способность пунктов пропуска, в том числе по видам международного сообщения, на уровне 4002,1 тыс. транспортных средств</w:t>
        <w:br/>
        <w:t>в год (план − 4002,1 тыс. транспортных средств в год), пропускная способность морских пунктов пропуска − 4,7 тыс. транспортных средств в год</w:t>
        <w:br/>
        <w:t>(план − 4,7 тыс. транспортных средств в год), пропускная способность железнодорожных пунктов пропуска – 14,2 тыс. транспортных средств в год</w:t>
        <w:br/>
        <w:t>(план − 14,2 тыс. транспортных средств в год), пропускная способность автомобильных пунктов пропуска – 3983,2 тыс. транспортных средств в год</w:t>
        <w:br/>
        <w:t>(план − 3983,2 тыс. транспортных средств в год), открыты после завершения реконструкции (строительства, технического перевооружения) 6 пунктов пропуска через государственную границу Российской Федерации (план − 6 пунктов пропуска).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 xml:space="preserve">В соответствии с приказами Минтранса России в 2021 году открыты после завершения строительства, реконструкции и технического перевооружения следующие пункты пропуска: 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>воздушный пункт пропуска Челябинск (Баландино) (Челябинская область) (приказ Минтранса России от 21 апреля 2021 г. № 133, зарегистрирован</w:t>
        <w:br/>
        <w:t>в Минюсте России 31 мая 2021 г. № 63705);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>морской пункт пропуска Пассажирский порт Санкт-Петербург (г. Санкт-Петербург) (приказ Минтранса России от 24 мая 2021 г. № 166, зарегистрирован</w:t>
        <w:br/>
        <w:t>в Минюсте России 7 июня 2021 г. № 63810);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>автомобильный пункт пропуска Кяхта (Республика Бурятия) (приказ Минтранса России от 25 августа 2021 г. № 288, зарегистрирован в Минюсте России</w:t>
        <w:br/>
        <w:t>8 сентября 2021 г. № 64935);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>воздушный пункт пропуска Махачкала (Уйташ) (Республика Дагестан) (приказ Минтранса России от 7 сентября 2021 г. № 302, зарегистрирован в Минюсте России 23 декабря 2021 г. № 66508);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>морской пункт пропуска Туапсе (Краснодарский край) в границах реконструированного участка АО «Туапсинский морской торговый порт»</w:t>
        <w:br/>
        <w:t>и Туапсинского балкерного терминала «Еврохим» (приказ Минтранса России</w:t>
        <w:br/>
        <w:t>от 29 сентября 2021 г. № 330, зарегистрирован в Минюсте России 8 ноября 2021 г.</w:t>
        <w:br/>
        <w:t>№ 65717);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>морской пункт пропуска Кавказ (Краснодарский край) в границах территории универсального терминала ООО «ВЕРП» (приказ Минтранса России</w:t>
        <w:br/>
        <w:t>от 7 декабря 2021 г. № 433, зарегистрирован в Минюсте России 20 января 2022 г.</w:t>
        <w:br/>
        <w:t>№ 66937).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Всего в 2021 году завершена модернизация 10 пунктов пропуска, из них</w:t>
        <w:br/>
        <w:t>5 – за счет средств федерального бюджета, 5 – за счет внебюджетных источников финансирования.</w:t>
      </w:r>
    </w:p>
    <w:p>
      <w:pPr>
        <w:pStyle w:val="Normal"/>
        <w:widowControl w:val="false"/>
        <w:spacing w:before="0" w:after="0"/>
        <w:ind w:firstLine="720"/>
        <w:contextualSpacing/>
        <w:jc w:val="both"/>
        <w:rPr/>
      </w:pPr>
      <w:r>
        <w:rPr>
          <w:sz w:val="28"/>
        </w:rPr>
        <w:t>В течение I–IV кварталов 2021 г. обеспечивалось бесперебойное функционирование 313 пунктов пропуска (план – 313 пунктов пропуска).</w:t>
      </w:r>
    </w:p>
    <w:p>
      <w:pPr>
        <w:pStyle w:val="Normal"/>
        <w:widowControl w:val="false"/>
        <w:spacing w:before="0" w:after="0"/>
        <w:ind w:firstLine="720"/>
        <w:contextualSpacing/>
        <w:jc w:val="both"/>
        <w:rPr>
          <w:sz w:val="28"/>
        </w:rPr>
      </w:pPr>
      <w:r>
        <w:rPr>
          <w:sz w:val="28"/>
        </w:rPr>
        <w:t>Выполнение указанного мероприятия обеспечивало:</w:t>
      </w:r>
    </w:p>
    <w:p>
      <w:pPr>
        <w:pStyle w:val="Normal"/>
        <w:widowControl w:val="false"/>
        <w:spacing w:before="0" w:after="0"/>
        <w:ind w:firstLine="720"/>
        <w:contextualSpacing/>
        <w:jc w:val="both"/>
        <w:rPr>
          <w:sz w:val="28"/>
        </w:rPr>
      </w:pPr>
      <w:r>
        <w:rPr>
          <w:sz w:val="28"/>
        </w:rPr>
        <w:t>создание благоприятных условий в пунктах пропуска для обеспечения внешнеэкономической деятельности, пересечения государственной границы Российской Федерации физическими лицами и перемещения через государственную границу Российской Федерации грузов и товаров, а также создание условий для эффективного развития пунктов пропуска в условиях интеграционных процессов,</w:t>
        <w:br/>
        <w:t>в том числе в рамках Евразийского экономического союза;</w:t>
      </w:r>
    </w:p>
    <w:p>
      <w:pPr>
        <w:pStyle w:val="Normal"/>
        <w:widowControl w:val="false"/>
        <w:spacing w:before="0" w:after="0"/>
        <w:ind w:firstLine="720"/>
        <w:contextualSpacing/>
        <w:jc w:val="both"/>
        <w:rPr>
          <w:sz w:val="28"/>
        </w:rPr>
      </w:pPr>
      <w:r>
        <w:rPr>
          <w:sz w:val="28"/>
        </w:rPr>
        <w:t>совершенствование системы пунктов пропуска в зависимости от темпов</w:t>
        <w:br/>
        <w:t>социально-экономического развития Российской Федерации и потребностей экономики;</w:t>
      </w:r>
    </w:p>
    <w:p>
      <w:pPr>
        <w:pStyle w:val="Normal"/>
        <w:widowControl w:val="false"/>
        <w:spacing w:before="0" w:after="0"/>
        <w:ind w:firstLine="720"/>
        <w:contextualSpacing/>
        <w:jc w:val="both"/>
        <w:rPr>
          <w:sz w:val="28"/>
        </w:rPr>
      </w:pPr>
      <w:r>
        <w:rPr>
          <w:sz w:val="28"/>
        </w:rPr>
        <w:t>совершенствование администрирования пунктов пропуска.</w:t>
      </w:r>
    </w:p>
    <w:p>
      <w:pPr>
        <w:pStyle w:val="Normal"/>
        <w:widowControl w:val="false"/>
        <w:spacing w:before="0" w:after="0"/>
        <w:ind w:firstLine="720"/>
        <w:contextualSpacing/>
        <w:jc w:val="both"/>
        <w:rPr>
          <w:sz w:val="28"/>
        </w:rPr>
      </w:pPr>
      <w:r>
        <w:rPr>
          <w:sz w:val="28"/>
        </w:rPr>
        <w:t>В 2021 году разработана концепция и начаты работы по созданию государственной информационной системы электронных перевозочных документов (ГИС ЭПД) (1-я очередь). В рамках развития функциональности ГИС ЭПД реализация блока оформления и сопровождения воздушных грузовых перевозок планируется в 2023 году.</w:t>
      </w:r>
    </w:p>
    <w:p>
      <w:pPr>
        <w:pStyle w:val="Normal"/>
        <w:widowControl w:val="false"/>
        <w:spacing w:before="0" w:after="0"/>
        <w:ind w:firstLine="720"/>
        <w:contextualSpacing/>
        <w:jc w:val="both"/>
        <w:rPr>
          <w:sz w:val="28"/>
        </w:rPr>
      </w:pPr>
      <w:r>
        <w:rPr>
          <w:sz w:val="28"/>
        </w:rPr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3.4. Интеграция в мировое транспортное пространство и реализация транзитного потенциала страны</w:t>
        <w:br/>
        <w:t>в области автомобильного транспорта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доля участия российских перевозчиков в объеме международных автомобильных перевозок грузов составила 44,1 % (план − 45 %).</w:t>
      </w:r>
    </w:p>
    <w:p>
      <w:pPr>
        <w:pStyle w:val="Normal"/>
        <w:ind w:right="-2" w:firstLine="720"/>
        <w:jc w:val="both"/>
        <w:rPr>
          <w:sz w:val="28"/>
        </w:rPr>
      </w:pPr>
      <w:r>
        <w:rPr>
          <w:sz w:val="28"/>
        </w:rPr>
        <w:t>Индикатор по доле участия российских перевозчиков в объеме международных автомобильных перевозок грузов в размере 45 % не был достигнут в 2021 году из-за уменьшения общего объема международных автомобильных перевозок грузов Российской Федерации, который в 2021 году составил</w:t>
        <w:br/>
        <w:t>34,3 млн. тонн и по сравнению с 2020 годом сократился на 1,7 %.</w:t>
      </w:r>
    </w:p>
    <w:p>
      <w:pPr>
        <w:pStyle w:val="Normal"/>
        <w:ind w:right="-2" w:firstLine="720"/>
        <w:jc w:val="both"/>
        <w:rPr>
          <w:sz w:val="28"/>
        </w:rPr>
      </w:pPr>
      <w:r>
        <w:rPr>
          <w:sz w:val="28"/>
        </w:rPr>
        <w:t>Падение объемов международных автомобильных перевозок связано</w:t>
        <w:br/>
        <w:t>с вводимыми в различных странах ограничениями, связанными с распространением коронавирусной инфекции, и в результате сокращение объемов международных автомобильных перевозок в отдельные периоды 2021 года по ряду направлений достигало 20 %, а на китайском – превышало 50 %.</w:t>
      </w:r>
    </w:p>
    <w:p>
      <w:pPr>
        <w:pStyle w:val="Normal"/>
        <w:ind w:right="-2" w:firstLine="720"/>
        <w:jc w:val="both"/>
        <w:rPr>
          <w:sz w:val="28"/>
        </w:rPr>
      </w:pPr>
      <w:r>
        <w:rPr>
          <w:sz w:val="28"/>
        </w:rPr>
        <w:t>Российский рынок международных автомобильных грузовых перевозок −</w:t>
        <w:br/>
        <w:t>один из самых грузоемких на европейском пространстве. Емкость рынка,</w:t>
        <w:br/>
        <w:t>то есть суммарная стоимость автотранспортных услуг на нем, − порядка</w:t>
        <w:br/>
        <w:t>7 млрд. долларов США.</w:t>
      </w:r>
    </w:p>
    <w:p>
      <w:pPr>
        <w:pStyle w:val="Normal"/>
        <w:ind w:right="-2" w:firstLine="720"/>
        <w:jc w:val="both"/>
        <w:rPr>
          <w:sz w:val="28"/>
        </w:rPr>
      </w:pPr>
      <w:r>
        <w:rPr>
          <w:sz w:val="28"/>
        </w:rPr>
        <w:t>Активная часть отечественных международных автоперевозчиков, работающих в постоянном режиме, – это порядка 4,5 тыс. компаний, обладающих</w:t>
        <w:br/>
        <w:t>50 тыс. транспортных средств. Удостоверения допуска к международным автомобильным перевозкам имеют 19,8 тыс. российских транспортных компаний (юридические лица и индивидуальные предприниматели), использующих</w:t>
        <w:br/>
        <w:t>на международных автомобильных перевозках транспортные средства, на которые выданы карточки допуска в количестве 157,7 тыс. штук.</w:t>
      </w:r>
    </w:p>
    <w:p>
      <w:pPr>
        <w:pStyle w:val="Normal"/>
        <w:ind w:right="-2" w:firstLine="709"/>
        <w:jc w:val="both"/>
        <w:rPr>
          <w:sz w:val="28"/>
        </w:rPr>
      </w:pPr>
      <w:r>
        <w:rPr>
          <w:sz w:val="28"/>
        </w:rPr>
        <w:t>Крупные предприятия (при автопарке свыше 20 единиц) составляют менее</w:t>
        <w:br/>
        <w:t>20 %. Основу составляет малый и средний бизнес (свыше 80 % компаний с парком подвижного состава не более 20 автомобилей).</w:t>
      </w:r>
    </w:p>
    <w:p>
      <w:pPr>
        <w:pStyle w:val="Normal"/>
        <w:ind w:right="-2" w:firstLine="709"/>
        <w:jc w:val="both"/>
        <w:rPr>
          <w:sz w:val="28"/>
        </w:rPr>
      </w:pPr>
      <w:r>
        <w:rPr>
          <w:sz w:val="28"/>
        </w:rPr>
        <w:t>В настоящее время между Российской Федерацией и другими странами действуют 55 соглашений о международном автомобильном сообщении.</w:t>
      </w:r>
    </w:p>
    <w:p>
      <w:pPr>
        <w:pStyle w:val="Normal"/>
        <w:ind w:right="-2" w:firstLine="709"/>
        <w:jc w:val="both"/>
        <w:rPr>
          <w:sz w:val="28"/>
        </w:rPr>
      </w:pPr>
      <w:r>
        <w:rPr>
          <w:sz w:val="28"/>
        </w:rPr>
        <w:t>В 2021 году количество полученных для российских перевозчиков разрешений составило 1666 тыс. (прирост на 5,31 % к уровню 2020 года, в 2020 году количество таких разрешений составило 1582 тыс.).</w:t>
      </w:r>
    </w:p>
    <w:p>
      <w:pPr>
        <w:pStyle w:val="Normal"/>
        <w:ind w:right="-2" w:firstLine="709"/>
        <w:jc w:val="both"/>
        <w:rPr/>
      </w:pPr>
      <w:r>
        <w:rPr>
          <w:sz w:val="28"/>
        </w:rPr>
        <w:t>11 октября 2021 г. подписано в удаленном формате Соглашение между Министерством транспорта Российской Федерации и Министерством транспорта Китайской Народной Республики о международных автомобильных перевозках опасных грузов. Соглашение позволит начать осуществление перевозок опасных грузов автомобильным транспортом между Российской Федерацией и Китайской Народной Республикой.</w:t>
      </w:r>
    </w:p>
    <w:p>
      <w:pPr>
        <w:pStyle w:val="Normal"/>
        <w:ind w:right="-2" w:firstLine="709"/>
        <w:jc w:val="both"/>
        <w:rPr/>
      </w:pPr>
      <w:r>
        <w:rPr>
          <w:sz w:val="28"/>
        </w:rPr>
        <w:t>10 декабря 2021 г. путем обмена нотами между министерствами иностранных дел Российской Федерации и Швейцарской Конфедерации вступил</w:t>
        <w:br/>
        <w:t>в силу Протокол о внесении изменений в Соглашение между Правительством Российской Федерации и Федеральным Советом Швейцарской Конфедерации</w:t>
        <w:br/>
        <w:t>о международном автомобильном сообщении от 20 октября 2014 г.</w:t>
      </w:r>
    </w:p>
    <w:p>
      <w:pPr>
        <w:pStyle w:val="Normal"/>
        <w:ind w:right="-2" w:firstLine="709"/>
        <w:jc w:val="both"/>
        <w:rPr/>
      </w:pPr>
      <w:r>
        <w:rPr>
          <w:sz w:val="28"/>
        </w:rPr>
        <w:t>Изданы:</w:t>
      </w:r>
    </w:p>
    <w:p>
      <w:pPr>
        <w:pStyle w:val="Normal"/>
        <w:ind w:right="-2" w:firstLine="709"/>
        <w:jc w:val="both"/>
        <w:rPr/>
      </w:pPr>
      <w:r>
        <w:rPr>
          <w:sz w:val="28"/>
        </w:rPr>
        <w:t>распоряжение Правительства Российской Федерации</w:t>
      </w:r>
      <w:r>
        <w:rPr>
          <w:b/>
          <w:sz w:val="28"/>
        </w:rPr>
        <w:t xml:space="preserve"> </w:t>
      </w:r>
      <w:r>
        <w:rPr>
          <w:sz w:val="28"/>
        </w:rPr>
        <w:t>от 12 октября 2021 г.</w:t>
        <w:br/>
        <w:t>№ 2884-р «О подписании Протокола о внесении изменений в Соглашение между Правительством Российской Федерации и Правительством Эстонской Республики</w:t>
        <w:br/>
        <w:t>о международном автомобильном сообщении от 4 июля 2000 г.»;</w:t>
      </w:r>
    </w:p>
    <w:p>
      <w:pPr>
        <w:pStyle w:val="Normal"/>
        <w:ind w:right="-2" w:firstLine="709"/>
        <w:jc w:val="both"/>
        <w:rPr/>
      </w:pPr>
      <w:r>
        <w:rPr>
          <w:sz w:val="28"/>
        </w:rPr>
        <w:t>распоряжение Правительства Российской Федерации от 11 октября 2021 г.</w:t>
        <w:br/>
        <w:t>№ 2855-р «О подписании Протокола о внесении изменений в Соглашение между Правительством Российской Федерации и Правительством Эстонской Республики</w:t>
        <w:br/>
        <w:t>о принципах сотрудничества и условиях взаимоотношений в области транспорта</w:t>
        <w:br/>
        <w:t>от 21 сентября 1992 г.».</w:t>
      </w:r>
    </w:p>
    <w:p>
      <w:pPr>
        <w:pStyle w:val="Normal"/>
        <w:ind w:right="-2" w:firstLine="709"/>
        <w:jc w:val="both"/>
        <w:rPr>
          <w:sz w:val="28"/>
        </w:rPr>
      </w:pPr>
      <w:r>
        <w:rPr>
          <w:sz w:val="28"/>
        </w:rPr>
        <w:t>Подписание протоколов планируется в I полугодии 2022 г.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3.5. Формирование сети транспортно-логистических центров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>В 2021 году суммарная мощность введенных в эксплуатацию узловых грузовых транспортно-логистических центров составила 9 млн. тонн (нарастающим итогом с 2019 года) (план − 5,7 млн. тонн (нарастающим итогом с 2019 года).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>Введен в эксплуатацию первый этап транспортно-логистического центра «Калининград» с показателями: 7 млн. тонн – контейнеры, 2 млн. тонн – прочие грузы. Суммарная мощность введенных в эксплуатацию объектов составила</w:t>
        <w:br/>
        <w:t>9 млн. тонн, а средняя коммерческая скорость товародвижения – 408,4 км/сут.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BodyText2"/>
        <w:tabs>
          <w:tab w:val="clear" w:pos="708"/>
          <w:tab w:val="left" w:pos="720" w:leader="none"/>
        </w:tabs>
        <w:rPr>
          <w:b/>
          <w:b/>
        </w:rPr>
      </w:pPr>
      <w:r>
        <w:rPr>
          <w:b/>
        </w:rPr>
        <w:t>Цель 4. Повышение комплексной безопасности и устойчивости транспортной системы с целью сокращения числа происшествий на транспорте на единицу транспортных средств на 15 процентов относительно уровня 2017 года</w:t>
      </w:r>
    </w:p>
    <w:p>
      <w:pPr>
        <w:pStyle w:val="BodyText2"/>
        <w:tabs>
          <w:tab w:val="clear" w:pos="708"/>
          <w:tab w:val="left" w:pos="720" w:leader="none"/>
        </w:tabs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</w:rPr>
      </w:pPr>
      <w:r>
        <w:rPr>
          <w:b/>
        </w:rPr>
        <w:t>Значение целевого показателя, установленного на 2021 год, достигнуто.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Число происшествий на транспорте на единицу транспортных средств относительно уровня 2017 года, по предварительным данным, составило 91 %</w:t>
      </w:r>
      <w:r>
        <w:rPr>
          <w:rStyle w:val="Style16"/>
        </w:rPr>
        <w:footnoteReference w:id="12"/>
      </w:r>
      <w:r>
        <w:rPr/>
        <w:br/>
        <w:t>(план − 91 %).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В 2021 году достигнуты и превышены плановые значения по 8 индикаторам направлений (блока мероприятий) Плана-графика из 9 установленных в рамках</w:t>
        <w:br/>
        <w:t>цели 4, реализовано в установленные сроки 9 предусмотренных мероприятий</w:t>
        <w:br/>
        <w:t>(из 9 установленных).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4.1. Обеспечение безопасности населения на транспорте</w:t>
      </w:r>
    </w:p>
    <w:p>
      <w:pPr>
        <w:pStyle w:val="Normal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целях государственной поддержки субъектов транспортной инфраструктуры</w:t>
        <w:br/>
        <w:t>и перевозчиков, направленной на защиту транспортного комплекса от совершения противоправных действий на объектах транспортной инфраструктуры</w:t>
        <w:br/>
        <w:t>и транспортных средствах, распоряжением Правительства Российской Федерации</w:t>
        <w:br/>
        <w:t>от 30 июля 2010 г. № 1285-р утверждена Комплексная программа обеспечения безопасности населения на транспорте (далее – Комплексная программа).</w:t>
      </w:r>
    </w:p>
    <w:p>
      <w:pPr>
        <w:pStyle w:val="Normal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Целью указанной программы является повышение уровня защищенности населения на транспорте от актов незаконного вмешательства, в том числе террористического характера, путем реализации наиболее </w:t>
      </w:r>
      <w:r>
        <w:rPr>
          <w:rFonts w:cs="Times New Roman"/>
          <w:color w:val="000000" w:themeColor="text1"/>
          <w:sz w:val="28"/>
          <w:szCs w:val="28"/>
        </w:rPr>
        <w:t>приоритетных мероприятий по оснащению объектов транспортной инфраструктуры в соответствии с требованиями законодательства Российской Федерации о транспортной безопасности.</w:t>
      </w:r>
    </w:p>
    <w:p>
      <w:pPr>
        <w:pStyle w:val="Normal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соответствии с пунктом 2(1) распоряжения Правительства Российской Федерации от 30 июля 2010 г. № 1285-р (в редакции от 4 июля 2019 г. № 1460-р) Минфину России было поручено предусмотреть при подготовке проекта федерального закона «О федеральном бюджете на 2020 год и на плановый период 2021 и 2022 годов» бюджетные ассигнования на финансирование мероприятий Комплексной программы в указанный период. Вместе с тем выделение средств федерального бюджета на реализацию мероприятий Комплексной программы</w:t>
        <w:br/>
        <w:t>в 2020−2022 годах предусмотрено не было.</w:t>
      </w:r>
    </w:p>
    <w:p>
      <w:pPr>
        <w:pStyle w:val="Normal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Во исполнение поручения Правительства Российской Федерации</w:t>
        <w:br/>
        <w:t>от 5 апреля 2021 г. № АБ-П50-4317 о подготовке согласованных предложений</w:t>
        <w:br/>
        <w:t>по корректировке Комплексной программы Минтрансом России совместно</w:t>
        <w:br/>
        <w:t>с причастными федеральными органами исполнительной власти и организациями сформирован перечень наиболее приоритетных мероприятий Комплексной программы с общим объемом необходимых бюджетных ассигнований</w:t>
        <w:br/>
        <w:t>44 264,3 млн. рублей вместо ранее заявленных на 2020−2022 годы</w:t>
        <w:br/>
        <w:t>97 932,9 млн. рублей.</w:t>
      </w:r>
    </w:p>
    <w:p>
      <w:pPr>
        <w:pStyle w:val="Normal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ходе формирования проекта федерального закона «О федеральном бюджете на 2022 год и на плановый период 2023 и 2024 годов» Минтрансом России была заявлена дополнительная потребность в бюджетных ассигнованиях на реализацию наиболее приоритетных мероприятий К</w:t>
      </w:r>
      <w:bookmarkStart w:id="0" w:name="_GoBack"/>
      <w:bookmarkEnd w:id="0"/>
      <w:r>
        <w:rPr>
          <w:rFonts w:cs="Times New Roman"/>
          <w:sz w:val="28"/>
          <w:szCs w:val="28"/>
        </w:rPr>
        <w:t>омплексной программы.</w:t>
      </w:r>
    </w:p>
    <w:p>
      <w:pPr>
        <w:pStyle w:val="Normal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Также было направлено обращение в адрес Минфина России о рассмотрении возможности выделения минимального из необходимого объема финансовых средств в размере 1 458,18 млн. рублей на реализацию первоочередных мероприятий Комплексной программы, связанных с проведением на территории Российской Федерации общественно значимых мероприятий международного уровня, таких как чемпионат мира по волейболу FIVB 2022, молодежный чемпионат мира по хоккею 2023 года в г. Новосибирске и XXXII Всемирная летняя универсиада 2023 года в г. Екатеринбурге.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Вместе с тем по состоянию на февраль 2022 года финансирование мероприятий (части мероприятий) Комплексной программы в федеральном бюджете не предусмотрено.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4.2. Обеспечение и развитие деятельности поисково- и аварийно-спасательной системы на транспорте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>В 2021 году уровень охвата территории Российской Федерации</w:t>
        <w:br/>
        <w:t xml:space="preserve">поисково-спасательным обеспечением полетов составил 78 % (план </w:t>
      </w:r>
      <w:r>
        <w:rPr>
          <w:b/>
        </w:rPr>
        <w:t>−</w:t>
      </w:r>
      <w:r>
        <w:rPr/>
        <w:t xml:space="preserve"> 78 %),</w:t>
        <w:br/>
        <w:t>уровень технической оснащенности аварийно-спасательных служб на водном транспорте − 52 % (план − 52 %).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 xml:space="preserve">В 2021 году Росавиация в сфере авиационно-космического поиска и спасания продолжала работу по совершенствованию функционирования единой системы авиационно-космического поиска и спасания. 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>Поисково-спасательное обеспечение в части дежурства поисково-спасательных воздушных судов и экипажей по состоянию на 31 декабря 2021 г. осуществлялось с привлечением от 80 до 106 экипажей поисково-спасательных воздушных судов, в том числе на самолетах − от 19 до 25 экипажей, на вертолетах −</w:t>
        <w:br/>
        <w:t xml:space="preserve">от 61 до 81 экипажа. 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 xml:space="preserve">Совместно с экипажами поисково-спасательных воздушных судов дежурство осуществляли 65 спасательных парашютно-десантных групп из состава федеральных казенных учреждений (61 региональной поисково-спасательной базы), подведомственных Росавиации. 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>В соответствии с Правилами предоставления из федерального бюджета субсидий авиационным предприятиям и организациям экспериментальной авиации на возмещение затрат при осуществлении ими поисково-спасательных операций (работ) и (или) участии в их обеспечении, утвержденными постановлением Правительства Российской Федерации от 28 августа 2021 г. № 1440, Росавиацией</w:t>
        <w:br/>
        <w:t xml:space="preserve">в период с 1 по 31 октября 2021 г. проведен отбор организаций на получение субсидий. 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>Положительное решение о получателях субсидий, заявки которых признаны соответствующими требованиям отбора и с которыми заключаются соглашения, принято по 6 организациям на общую сумму 6,4 млн. рублей.</w:t>
      </w:r>
    </w:p>
    <w:p>
      <w:pPr>
        <w:pStyle w:val="BodyText2"/>
        <w:tabs>
          <w:tab w:val="clear" w:pos="708"/>
          <w:tab w:val="left" w:pos="720" w:leader="none"/>
        </w:tabs>
        <w:ind w:firstLine="709"/>
        <w:jc w:val="both"/>
        <w:rPr/>
      </w:pPr>
      <w:r>
        <w:rPr/>
        <w:t>Предоставление субсидий из федерального бюджета на возмещение затрат, связанных с выполнением задач (функций) по реализации мероприятий по несению аварийно-спасательной готовности на море, включая создание и функционирование Глобальной морской системы связи при бедствии и для обеспечения безопасности, других систем передачи информации, обеспечивалось в пределах бюджетных ассигнований, предусмотренных в федеральном бюджете на 2021 год.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рамках поставленной задачи выполнялись следующие мероприятия: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обеспечение функционирования Международного координационно-вычислительного центра системы Коспас-Сарсат в г. Москве (МКВЦ) для приема аварийных сигналов, определения географических координат и государственной принадлежности терпящих бедствие судов, самолетов и других подвижных объектов;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выполнение функций по передаче полученной информации о бедствии</w:t>
        <w:br/>
        <w:t>в системе Коспас-Сарсат в Спасательно-координационный центр Росморречфлота, ФБУ «Служба единой системы авиационно-космического поиска и спасания»</w:t>
        <w:br/>
        <w:t>и Дежурно-диспетчерскую службу Ространснадзора, а также зарубежные координационные и спасательные центры;</w:t>
      </w:r>
    </w:p>
    <w:p>
      <w:pPr>
        <w:pStyle w:val="Normal"/>
        <w:widowControl w:val="false"/>
        <w:tabs>
          <w:tab w:val="clear" w:pos="708"/>
          <w:tab w:val="left" w:pos="720" w:leader="none"/>
        </w:tabs>
        <w:ind w:firstLine="720"/>
        <w:jc w:val="both"/>
        <w:rPr>
          <w:sz w:val="28"/>
        </w:rPr>
      </w:pPr>
      <w:r>
        <w:rPr>
          <w:sz w:val="28"/>
        </w:rPr>
        <w:t>ведение национальной базы аварийных радиобуев и радиомаяков системы Коспас-Сарсат.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4.3. Развитие интегрированной системы контроля безопасности на транспорте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показатель снижения количества смертельных случаев и случаев травматизма относительно уровня 2017 года составил 42,2 % (план − 70 %),</w:t>
        <w:br/>
        <w:t>уровень оснащенности надзорного органа техническими средствами составил 91,3 % (план − 92 %), введено в эксплуатацию 1 патрульное судно (катер) (план − 1 судно), прирост количества приобретенных передвижных контрольных пунктов транспортного контроля в отчетном периоде относительно уровня 2017 года</w:t>
        <w:br/>
        <w:t>составил 15 % (план − 15 %).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рамках ведомственного проекта «Совершенствование контрольно-надзорной деятельности в сфере транспорта в Российской Федерации» Ространснадзором в 2021 году был заключен государственный контракт</w:t>
        <w:br/>
        <w:t>от 21 мая 2021 г. № 4.5.12-26 на приобретение 22 передвижных контрольных весогабаритных пунктов, что на 2 единицы больше запланированного количества. Также в 2021 году приняты работы по контрактам 2020 года на приобретение</w:t>
        <w:br/>
        <w:t>4 патрульных судов. Вместе с тем в связи с неисполнением условий контракта поставщиком Ространснадзором 18 октября 2021 г. расторгнут государственный контракт от 20 апреля 2021 г. № 4.5.12-21 на поставку трех патрульных катеров</w:t>
        <w:br/>
        <w:t>и заключен государственный контракт от 19 октября 2021 г. № 4.5.12-69</w:t>
        <w:br/>
        <w:t>на приобретение одного дополнительного судна. Указанные заключенные контракты исполнены в полном объеме. С учетом изложенного плановое значение уровня оснащенности надзорного органа техническими средствами не было достигнуто.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доступность сервиса Единой информационно-аналитической системы Ространснадзора (далее − ЕИАС Ространснадзора), функционирующей</w:t>
        <w:br/>
        <w:t>в режиме 24/7, составила 99,69 % (план − 99,69 %), уровень обслуживания центра обработки данных, резервного центра обработки данных и АРМ центрального аппарата Ространснадзора составил 85 % (план − 85 %).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С целью обеспечения постоянного и бесперебойного доступа пользователей</w:t>
        <w:br/>
        <w:t>к сервису ЕИАС Ространснадзора, функционирующей в режиме 24/7, осуществлялся непрерывный мониторинг состояния доступности сервиса, работало</w:t>
        <w:br/>
        <w:t>«единое окно» поддержки работы пользователей ЕИАС Ространснадзора, установлены и развернуты средства информационной безопасности</w:t>
        <w:br/>
        <w:t>и ведомственной защищенной сети передачи данных Ространснадзора, а также осуществлялось резервное копирование информации, выполнялись регламентные работы по необходимому увеличению вычислительных мощностей и памяти, осуществлялось перераспределение нагрузок по элементам Центра обработки данных АРМ центрального аппарата Ространснадзора.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4.5. Повышение уровня информационного обеспечения безопасности населения на транспорте</w:t>
        <w:br/>
        <w:t>с обеспечением до 30000 субъектов транспортной деятельности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обеспечено количество субъектов транспортной деятельности, подключенных к единому защищенному закрытому информационному пространству в сфере обеспечения безопасности населения на транспорте, в объеме 7182 единицы (план − 3000 единиц).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BodyText2"/>
        <w:tabs>
          <w:tab w:val="clear" w:pos="708"/>
          <w:tab w:val="left" w:pos="720" w:leader="none"/>
        </w:tabs>
        <w:ind w:firstLine="72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BodyText2"/>
        <w:tabs>
          <w:tab w:val="clear" w:pos="708"/>
          <w:tab w:val="left" w:pos="720" w:leader="none"/>
        </w:tabs>
        <w:ind w:firstLine="72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BodyText2"/>
        <w:tabs>
          <w:tab w:val="clear" w:pos="708"/>
          <w:tab w:val="left" w:pos="720" w:leader="none"/>
        </w:tabs>
        <w:ind w:firstLine="72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BodyText2"/>
        <w:tabs>
          <w:tab w:val="clear" w:pos="708"/>
          <w:tab w:val="left" w:pos="720" w:leader="none"/>
        </w:tabs>
        <w:ind w:firstLine="72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BodyText2"/>
        <w:tabs>
          <w:tab w:val="clear" w:pos="708"/>
          <w:tab w:val="left" w:pos="720" w:leader="none"/>
        </w:tabs>
        <w:rPr>
          <w:b/>
          <w:b/>
        </w:rPr>
      </w:pPr>
      <w:r>
        <w:rPr>
          <w:b/>
        </w:rPr>
        <w:t>Цель 5. Доведение доли автомобильных дорог регионального значения, соответствующих нормативным требованиям, до 50,9 процента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BodyText2"/>
        <w:widowControl w:val="false"/>
        <w:tabs>
          <w:tab w:val="clear" w:pos="708"/>
          <w:tab w:val="left" w:pos="720" w:leader="none"/>
        </w:tabs>
        <w:ind w:firstLine="720"/>
        <w:jc w:val="both"/>
        <w:rPr>
          <w:b/>
          <w:b/>
        </w:rPr>
      </w:pPr>
      <w:r>
        <w:rPr>
          <w:b/>
        </w:rPr>
        <w:t>Значение целевого показателя, установленное на 2021 год, достигнуто.</w:t>
      </w:r>
    </w:p>
    <w:p>
      <w:pPr>
        <w:pStyle w:val="BodyText2"/>
        <w:widowControl w:val="false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Доля автомобильных дорог регионального значения, соответствующих нормативным требованиям относительно уровня 2017 года, составила 48,95 %</w:t>
      </w:r>
      <w:r>
        <w:rPr>
          <w:rStyle w:val="Style16"/>
        </w:rPr>
        <w:footnoteReference w:id="13"/>
      </w:r>
      <w:r>
        <w:rPr/>
        <w:br/>
        <w:t>(план − 45,8 %).</w:t>
      </w:r>
    </w:p>
    <w:p>
      <w:pPr>
        <w:pStyle w:val="BodyText2"/>
        <w:widowControl w:val="false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достигнуты плановые значения по одному индикатору направления (блока мероприятий) Плана-графика из одного установленного</w:t>
        <w:br/>
        <w:t>в рамках цели 5, реализовано в установленный срок одно мероприятие (из одного установленного).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5.1. Повышение качества автомобильных дорог регионального значения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обеспечена доля автомобильных дорог регионального значения, соответствующих нормативным требованиям, на уровне 48,95 %</w:t>
      </w:r>
      <w:r>
        <w:rPr>
          <w:vertAlign w:val="superscript"/>
        </w:rPr>
        <w:t>12</w:t>
      </w:r>
      <w:r>
        <w:rPr/>
        <w:t xml:space="preserve"> (план − 45,8 %).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субъектами Российской Федерации реализованы программы дорожной деятельности, позволившие, по оперативным сведениям, осуществить  работы на более чем 6 100 объектах в 84 субъектах Российской Федерации, а также</w:t>
        <w:br/>
        <w:t>на ряде капиталоемких объектов.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</w:rPr>
      </w:pPr>
      <w:r>
        <w:rPr>
          <w:b/>
        </w:rPr>
      </w:r>
    </w:p>
    <w:p>
      <w:pPr>
        <w:pStyle w:val="BodyText2"/>
        <w:tabs>
          <w:tab w:val="clear" w:pos="708"/>
          <w:tab w:val="left" w:pos="720" w:leader="none"/>
        </w:tabs>
        <w:rPr>
          <w:b/>
          <w:b/>
        </w:rPr>
      </w:pPr>
      <w:r>
        <w:rPr>
          <w:b/>
        </w:rPr>
        <w:t>Цель 6. Обеспечение доли дорожной сети в городских агломерациях, соответствующей нормативным требованиям, на уровне не менее 85 процентов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b/>
        </w:rPr>
        <w:t>Значение целевого показателя, установленное на 2021 год, достигнуто.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Доля дорожной сети городских агломераций, соответствующая нормативным требованиям, составила 77,93 %</w:t>
      </w:r>
      <w:r>
        <w:rPr>
          <w:vertAlign w:val="superscript"/>
        </w:rPr>
        <w:t>12</w:t>
      </w:r>
      <w:r>
        <w:rPr/>
        <w:t xml:space="preserve"> (план − 73 %).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достигнуты плановые значения по одному индикатору направления (блока мероприятий) Плана-графика из одного установленного</w:t>
        <w:br/>
        <w:t>в рамках цели 6, реализовано в установленный срок одно мероприятие (из одного установленного).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6.1. Повышение качества дорожной сети в городских агломерациях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Доля дорожной сети городских агломераций, соответствующая нормативным требованиям, составила 77,93 %</w:t>
      </w:r>
      <w:r>
        <w:rPr>
          <w:vertAlign w:val="superscript"/>
        </w:rPr>
        <w:t>12</w:t>
      </w:r>
      <w:r>
        <w:rPr/>
        <w:t xml:space="preserve"> (план − 73 %).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субъектами Российской Федерации осуществлены работы</w:t>
        <w:br/>
        <w:t>на автомобильных дорогах, находящихся на территориях городских агломераций, направленные на создание в регионах систем управления движением</w:t>
        <w:br/>
        <w:t>на автомобильных дорогах городских агломераций. По состоянию</w:t>
        <w:br/>
        <w:t>на 31 декабря 2021 г. на автомобильных дорогах регионального или межмуниципального, местного значения в 56 регионах размещены</w:t>
        <w:br/>
        <w:t>298 автоматических пунктов весогабаритного контроля транспортных средств. Реализация данного мероприятия способствует повышению сохранности автомобильных дорог, безопасности дорожного движения.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BodyText2"/>
        <w:tabs>
          <w:tab w:val="clear" w:pos="708"/>
          <w:tab w:val="left" w:pos="720" w:leader="none"/>
        </w:tabs>
        <w:ind w:firstLine="720"/>
        <w:rPr>
          <w:b/>
          <w:b/>
        </w:rPr>
      </w:pPr>
      <w:r>
        <w:rPr>
          <w:b/>
        </w:rPr>
        <w:t>Цель 7. Повышение эффективности государственного управления в сфере транспортного комплекса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В 2021 году достигнуты и превышены плановые значения по 4 индикаторам направления (блока мероприятий) Плана-графика из 4 установленных</w:t>
        <w:br/>
        <w:t>в рамках цели 7, реализовано в установленный срок 12 мероприятий</w:t>
        <w:br/>
        <w:t>(из 12 установленных).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7.1. Совершенствование нормативной правовой деятельности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Распоряжением Минтранса России от 13 января 2021 г. № ВС-5-р утвержден План законопроектной деятельности Министерства транспорта Российской Федерации на 2021 год.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szCs w:val="28"/>
        </w:rPr>
      </w:pPr>
      <w:r>
        <w:rPr>
          <w:szCs w:val="28"/>
        </w:rPr>
        <w:t>Принято 20 федеральных законов.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b/>
          <w:i/>
        </w:rPr>
        <w:t xml:space="preserve">Направление (блок мероприятий) 7.2. Управление реализацией стратегических документов в сфере </w:t>
      </w:r>
      <w:r>
        <w:rPr>
          <w:b/>
          <w:i/>
          <w:color w:val="auto"/>
        </w:rPr>
        <w:t>транспорта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2021 году в установленном порядке осуществлялся мониторинг реализации Транспортной стратегии Российской Федерации на период до 2030 года, государственной программы Российской Федерации «Развитие транспортной системы», разработаны параметры прогноза социально-экономического развития транспортного комплекса на 2022 год и на плановый период 2023 и 2024 годов, утверждена Публичная декларация ключевых целей и приоритетных задач Министерства транспорта Российской Федерации на 2021 год.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Распоряжением Правительства Российской Федерации от 27 ноября 2021 г.</w:t>
        <w:br/>
        <w:t>№ 3363-р утверждена Транспортная стратегия Российской Федерации до 2030 года</w:t>
        <w:br/>
        <w:t>с прогнозом на период до 2035 года (далее − Транспортная стратегия).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Ключевым принципом Транспортной стратегии является  клиентоцентричность. Транспортная стратегия впервые структурирована</w:t>
        <w:br/>
        <w:t xml:space="preserve">по категориям услуг в интересах граждан, предпринимателей и государства.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 xml:space="preserve">Также Транспортной стратегией введен механизм управления развитием инфраструктуры на основе Единой опорной транспортной сети Российской Федерации и транспортно-экономического баланса.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Одним из основных акцентов Транспортной стратегии являются ускоренная цифровизация и прорывные технологические решения. Особое внимание уделено концепции устойчивого развития, включающей инициативы по экологии, безопасности и развитию человеческого капитала.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В 2021 году Минтрансом России обеспечена подготовка и принятие</w:t>
        <w:br/>
        <w:t>6 распоряжений Правительства Российской Федерации о внесении изменений                   в схему территориального планирования Российской Федерации в области федерального транспорта (железнодорожного, воздушного, морского, внутреннего водного транспорта) и автомобильных дорог федерального значения в отношении</w:t>
        <w:br/>
        <w:t>26 объектов: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color w:val="auto"/>
        </w:rPr>
        <w:t>от 22 января 2021 г. № 112-р − в части строительства двухпутной вставки</w:t>
        <w:br/>
        <w:t>с примыканием к станции Тойма пропускной способностью 33 пары поездов в сутки на участке Тихоново – Тойма, реконструкции железнодорожных станций Кинель, Казинка, Чугун II;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color w:val="auto"/>
        </w:rPr>
        <w:t>от 9 апреля 2021 г. № 926-р − в части строительства аэропортового комплекса «Левашово» (за исключением объектов концессионного соглашения) пропускной способностью 250 пассажиров в час;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color w:val="auto"/>
        </w:rPr>
        <w:t>от 23 июня 2021 г. № 1697-р − в части строительства терминала по перегрузке навалочных и генеральных грузов проектной мощностью 2,5 млн. тонн в год, изменения трассировки строящейся скоростной автомобильной дороги М-12</w:t>
        <w:br/>
        <w:t>Москва − Нижний Новгород − Казань, строительства скоростной автомобильной дороги категории IБ с 4−6 полосами движения с последующей эксплуатацией</w:t>
        <w:br/>
        <w:t>на платной основе;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color w:val="auto"/>
        </w:rPr>
        <w:t>от 25 июня 2021 г. № 1723-р − в части строительства и реконструкции аэропортового комплекса Улан-Удэ «Байкал»;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от 29 сентября 2021 г. № 2734-р − в части строительства высокоскоростной (специализированной) железнодорожной магистрали Москва − Санкт-Петербург</w:t>
        <w:br/>
        <w:t>со строительством железнодорожных станций Жаровская ВСМ, Великий Новгород ВСМ, Окуловка ВСМ, Выползово ВСМ, Садва ВСМ, Логовежь ВСМ, Новая Тверь</w:t>
      </w:r>
      <w:r>
        <w:rPr>
          <w:color w:val="FB290D"/>
        </w:rPr>
        <w:t xml:space="preserve"> </w:t>
      </w:r>
      <w:r>
        <w:rPr>
          <w:color w:val="auto"/>
        </w:rPr>
        <w:t>ВСМ, Высоково ВСМ, Обухово-2 ВСМ, Горки ВСМ, Москва-Техническая ВСМ и реконструкцией станций Москва-Пассажирская, Санкт-Петербург-Главный;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от 10 ноября 2021 г. № 3151-р − в части реконструкции станции Братск, строительства участка обхода г. Рязани автомобильной дороги М-5 «Урал» Москва – Рязань – Пенза – Самара – Уфа – Челябинск, строительства универсального морского терминала генеральных и навалочных грузов мощностью 13 млн. тонн в год в порту Усть-Луга, реконструкции соединительной ветви железнодорожной линии общего пользования № 15 и строительства железнодорожной линии общего пользования соединительной ветви № 30.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Обеспечены подготовка, согласование и направление в Правительство Российской Федерации проекта распоряжения, предусматривающего внесение изменений в схему территориального планирования Российской Федерации</w:t>
        <w:br/>
        <w:t>в области федерального транспорта в отношении рекордного количества −</w:t>
        <w:br/>
        <w:t>229 объектов по следующим мероприятиям: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модернизация Байкало-Амурской и Транссибирской железнодорожных магистралей с развитием пропускных и провозных способностей (II этап);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реконструкция станций Юровский, Гостагаевская, Анапа, а также строительство новых станций Витязево, Аэропорт и железнодорожной линии Витязево – Аэропорт – Анапа (от станции Анапа до примыкания к участку Гостагаевская – Анапа);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строительство пассажирского терминала и реконструкция аэродромной инфраструктуры аэропорта г. Йошкар-Ола;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строительство универсального морского терминала в районе мыса Наглёйнын</w:t>
        <w:br/>
        <w:t>в морском порту Певек;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строительство многофункционального морского терминала «Славянка»</w:t>
        <w:br/>
        <w:t>на искусственном земельном участке на водном объекте в границах морского порта Посьет;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строительство Приморского универсально-перегрузочного комплекса</w:t>
        <w:br/>
        <w:t>на территории Приморского городского поселения Выборгского района Ленинградской области.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>
          <w:color w:val="auto"/>
        </w:rPr>
        <w:t>Утвержденные в установленном порядке изменения в схему территориального планирования Российской Федерации в области федерального транспорта позволят реализовать положения Градостроительного кодекса Российской Федерации, Земельного кодекса Российской Федерации, Федерального закона</w:t>
        <w:br/>
        <w:t>от 29 декабря 2004 г. № 191-ФЗ «О введении в действие Градостроительного кодекса Российской Федерации», Федерального закона от 21 декабря 2004 г.</w:t>
        <w:br/>
        <w:t>№ 172-ФЗ «О переводе земель или земельных участков из одной категории</w:t>
        <w:br/>
        <w:t>в другую» и Федерального закона от 8 ноября 2007 г. № 261-ФЗ «О морских портах</w:t>
        <w:br/>
        <w:t>в Российской Федерации и о внесении изменений в отдельные законодательные акты Российской Федерации», постановления Правительства Российской Федерации</w:t>
        <w:br/>
        <w:t>от 30 декабря 2018 г. № 1775 «Об утверждении Правил установления или изменения границ территории морского порта, а также расширения территории морского порта», обеспечат органам государственной власти, органам местного самоуправления возможность принимать решения о резервировании земель,</w:t>
        <w:br/>
        <w:t>об изъятии земельных участков для государственных или муниципальных нужд,</w:t>
        <w:br/>
        <w:t>о переводе земель или земельных участков из одной категории в другую в целях размещения объектов федерального значения, о разработке документации</w:t>
        <w:br/>
        <w:t>по планировке территории в целях размещения объектов федерального значения</w:t>
        <w:br/>
        <w:t>и выдачи разрешенийна строительство объектов капитального строительства,</w:t>
        <w:br/>
        <w:t xml:space="preserve">о создании или расширении морских портов.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FB290D"/>
        </w:rPr>
      </w:pPr>
      <w:r>
        <w:rPr>
          <w:color w:val="auto"/>
        </w:rPr>
        <w:t>Реализация мероприятия по разработке схемы территориального планирования Российской Федерации в области федерального транспорта направлено на определение в документах территориального планирования Российской Федерации назначения территорий исходя из совокупности социальных, экономических, экологических и иных факторов в целях обеспечения устойчивого развития территорий, развития инженерной, транспортной и социальной инфраструктур, обеспечения учета интересов граждан и их объединений, Российской Федерации, субъектов Российской Федерации, муниципальных образований.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>
          <w:b/>
          <w:i/>
        </w:rPr>
        <w:t>Направление (блок мероприятий) 7.3. Содействие инновационному развитию транспортного комплекса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В планах показателей деятельности федеральной службы и федеральных агентств, находящихся в ведении Минтранса России, на 2021 год установлена величина показателя «Осуществление государственных закупок инновационных видов продукции, в том числе из Перечня, рекомендованного Рабочей группой Министерства транспорта Российской Федерации по импортозамещению</w:t>
        <w:br/>
        <w:t>и повышению инновационности государственных закупок в транспортном комплексе, утвержденной распоряжением Минтранса России от 20 сентября 2016 г.</w:t>
        <w:br/>
        <w:t>№ МС-131-р» в размере не менее 0,5 % от годового объема закупок (приказ Минтранса России от 31 марта 2021 г. № 111).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/>
        <w:t>По оперативной информации, запланированная величина достигнута и будет уточнена при представлении соответствующего отчета в установленные сроки.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color w:val="auto"/>
        </w:rPr>
        <w:t>В 2021 году в рамках планов мероприятий Национальной технологической инициативы</w:t>
      </w:r>
      <w:r>
        <w:rPr>
          <w:color w:val="C9211E"/>
        </w:rPr>
        <w:t xml:space="preserve"> </w:t>
      </w:r>
      <w:r>
        <w:rPr/>
        <w:t>в Правительство Российской Федерации внесен проект постановления Российской Федерации «О внесении изменений в Положение о проведении эксперимента по опытной эксплуатации на автомобильных дорогах общего пользования высокоавтоматизированных транспортных средств, утвержденное постановлением Правительства Российской Федерации от 26 ноября 2018 г.</w:t>
        <w:br/>
        <w:t>№ 1415» (пункт 16(1) плана мероприятий «Автонет»), принят Федеральный закон</w:t>
        <w:br/>
        <w:t xml:space="preserve">от 24 февраля 2021 г. № 26-ФЗ «О внесении изменений в Федеральный закон       «Устав автомобильного транспорта и городского наземного электрического транспорта» (пункт 19 плана мероприятий «Автонет»), </w:t>
      </w:r>
      <w:r>
        <w:rPr>
          <w:szCs w:val="28"/>
        </w:rPr>
        <w:t>Федеральный закон</w:t>
        <w:br/>
        <w:t>от 30 декабря 2021 г. № 488-ФЗ  «О внесении изменений в Воздушный кодекс Российской Федерации» (пункт 9 плана мероприятий «Аэронет»), а также разработаны проекты федеральных законов «О внесении изменений в отдельные законодательные акты Российской Федерации в части отмены государственной регистрации прав на воздушные суда и сделок с ними», «О внесении изменений</w:t>
        <w:br/>
        <w:t>в части первую и третью Гражданского кодекса Российской Федерации в части отмены государственной регистр</w:t>
      </w:r>
      <w:r>
        <w:rPr/>
        <w:t xml:space="preserve">ации прав на воздушные суда и сделок с ними» </w:t>
      </w:r>
      <w:bookmarkStart w:id="1" w:name="__DdeLink__12885_35618039951"/>
      <w:r>
        <w:rPr/>
        <w:t>(пункт 1 плана мероприятий «Аэронет»)</w:t>
      </w:r>
      <w:bookmarkEnd w:id="1"/>
      <w:r>
        <w:rPr/>
        <w:t xml:space="preserve"> и «О внесении изменений в отдельные законодательные акты (в части систематизации обязательных требований в сфере воздушного транспорта)» (пункт 7 плана мероприятий «Аэронет»).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/>
        <w:t>Минтрансом России письмом от 24 января 2021 г. № Д14/1332-ис в адрес Минобрнауки России направлена информация о ходе реализации планов мероприятий («дорожных карт»)  «Автонет», «Маринет», «Аэронет».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color w:val="auto"/>
        </w:rPr>
      </w:pPr>
      <w:r>
        <w:rPr/>
        <w:t>На официальном сайте Минтранса России в информационно-телекоммуникационной сети «Интернет» (https://mintrans.gov.ru/activities/</w:t>
        <w:br/>
        <w:t xml:space="preserve">215/documents) размещен доклад о стоимости строительства, реконструкции, капитального ремонта, ремонта и содержания 1 км автомобильных дорог общего пользования Российской Федерации. 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/>
      </w:pPr>
      <w:r>
        <w:rPr>
          <w:b/>
          <w:i/>
        </w:rPr>
        <w:t>Направление (блок мероприятий) 7.5. Обеспечение органов управления транспортным комплексом информацией о состоянии и ходе развития транспортной системы, ее безопасности и устойчивости, прогнозе спроса</w:t>
        <w:br/>
        <w:t>на транспортные услуги по результатам анализа до 1600 обрабатываемых показателей</w:t>
      </w:r>
    </w:p>
    <w:p>
      <w:pPr>
        <w:pStyle w:val="BodyText2"/>
        <w:tabs>
          <w:tab w:val="clear" w:pos="708"/>
          <w:tab w:val="left" w:pos="720" w:leader="none"/>
        </w:tabs>
        <w:ind w:firstLine="720"/>
        <w:jc w:val="both"/>
        <w:rPr>
          <w:b/>
          <w:b/>
          <w:i/>
          <w:i/>
        </w:rPr>
      </w:pPr>
      <w:r>
        <w:rPr/>
        <w:t>В 2021 году количество показателей, обрабатываемых в централизованном банке данных информационно-аналитической системы регулирования</w:t>
        <w:br/>
        <w:t>на транспорте, характеризующих состояние транспортной системы, составило</w:t>
        <w:br/>
        <w:t>2200 единиц (план − 1400 единиц), коэффициент бесперебойной работы информационно-аналитической системы регулирования на транспорте составил 99,3 % (план − 99,3 %), 82 субъекта Российской Федерации и их информационные источники подключены к информационно-аналитической системе регулирования на транспорте (план − 55 субъектов Российской Федерации), количество (доля) инфраструктурных проектов в сфере транспорта, реализуемых с привлечением государственного финансирования, подготовка и/или реализация которых осуществляется с использованием системы эффективного транспортного планирования в составе информационно-аналитической системы регулирования</w:t>
        <w:br/>
        <w:t>на транспорте, составило 30 % (план − 30 %).</w:t>
      </w:r>
    </w:p>
    <w:sectPr>
      <w:headerReference w:type="default" r:id="rId2"/>
      <w:footnotePr>
        <w:numFmt w:val="decimal"/>
      </w:footnotePr>
      <w:type w:val="nextPage"/>
      <w:pgSz w:w="11906" w:h="16838"/>
      <w:pgMar w:left="1134" w:right="567" w:header="709" w:top="113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XO Thames">
    <w:charset w:val="01"/>
    <w:family w:val="roman"/>
    <w:pitch w:val="variable"/>
  </w:font>
  <w:font w:name="Symbol">
    <w:charset w:val="01"/>
    <w:family w:val="roman"/>
    <w:pitch w:val="variable"/>
  </w:font>
  <w:font w:name="Wingdings">
    <w:charset w:val="01"/>
    <w:family w:val="roman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Times New Roman">
    <w:charset w:val="01"/>
    <w:family w:val="auto"/>
    <w:pitch w:val="variable"/>
  </w:font>
  <w:font w:name="Courier New">
    <w:charset w:val="01"/>
    <w:family w:val="auto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Style51"/>
        <w:jc w:val="both"/>
        <w:rPr/>
      </w:pPr>
      <w:r>
        <w:rPr>
          <w:rStyle w:val="Style21"/>
        </w:rPr>
        <w:footnoteRef/>
      </w:r>
      <w:r>
        <w:rPr/>
        <w:t xml:space="preserve"> </w:t>
      </w:r>
      <w:r>
        <w:rPr>
          <w:sz w:val="20"/>
        </w:rPr>
        <w:t>Снижение показателя обусловлено введением субъектами Российской Федерации ограничений, направленных</w:t>
        <w:br/>
        <w:t>на предотвращение распространения новой коронавирусной инфекции (COVID-19).</w:t>
      </w:r>
    </w:p>
  </w:footnote>
  <w:footnote w:id="3">
    <w:p>
      <w:pPr>
        <w:pStyle w:val="Style51"/>
        <w:jc w:val="both"/>
        <w:rPr/>
      </w:pPr>
      <w:r>
        <w:rPr>
          <w:rStyle w:val="Style21"/>
        </w:rPr>
        <w:footnoteRef/>
      </w:r>
      <w:r>
        <w:rPr/>
        <w:t xml:space="preserve"> </w:t>
      </w:r>
      <w:r>
        <w:rPr>
          <w:sz w:val="20"/>
        </w:rPr>
        <w:t>Прирост производственной мощности по мероприятию «Таманский терминал навалочных грузов в морском порту Тамань» (25 млн. тонн) не достигнут в связи с выявленными замечаниями в ходе проверок со стороны Ростехнадзора</w:t>
        <w:br/>
        <w:t>и Росприроднадзора. Разрешение на ввод объекта в эксплуатацию получено 26 января 2022 г.</w:t>
      </w:r>
    </w:p>
  </w:footnote>
  <w:footnote w:id="4">
    <w:p>
      <w:pPr>
        <w:pStyle w:val="Style51"/>
        <w:jc w:val="both"/>
        <w:rPr/>
      </w:pPr>
      <w:r>
        <w:rPr>
          <w:rStyle w:val="Style21"/>
        </w:rPr>
        <w:footnoteRef/>
      </w:r>
      <w:r>
        <w:rPr/>
        <w:t xml:space="preserve"> </w:t>
      </w:r>
      <w:r>
        <w:rPr>
          <w:sz w:val="20"/>
        </w:rPr>
        <w:t xml:space="preserve">Не введена взлетно-посадочная полоса в аэропорту Великий Устюг по причине неустранения замечаний Ростехнадзора правительством Вологодской области. Срок ввода объекта перенесен на июнь 2022 г. </w:t>
      </w:r>
    </w:p>
  </w:footnote>
  <w:footnote w:id="5">
    <w:p>
      <w:pPr>
        <w:pStyle w:val="Style51"/>
        <w:jc w:val="both"/>
        <w:rPr/>
      </w:pPr>
      <w:r>
        <w:rPr>
          <w:rStyle w:val="Style21"/>
        </w:rPr>
        <w:footnoteRef/>
      </w:r>
      <w:r>
        <w:rPr/>
        <w:t xml:space="preserve"> </w:t>
      </w:r>
      <w:r>
        <w:rPr>
          <w:sz w:val="20"/>
        </w:rPr>
        <w:t>Всего в 2021 году завершена модернизация 10 пунктов пропуска, из них 5 – за счет средств федерального бюджета,</w:t>
        <w:br/>
        <w:t>5 – за счет внебюджетных источников финансирования.</w:t>
      </w:r>
    </w:p>
  </w:footnote>
  <w:footnote w:id="6">
    <w:p>
      <w:pPr>
        <w:pStyle w:val="Style51"/>
        <w:jc w:val="both"/>
        <w:rPr/>
      </w:pPr>
      <w:r>
        <w:rPr>
          <w:rStyle w:val="Style21"/>
        </w:rPr>
        <w:footnoteRef/>
      </w:r>
      <w:r>
        <w:rPr/>
        <w:t xml:space="preserve"> </w:t>
      </w:r>
      <w:r>
        <w:rPr>
          <w:sz w:val="20"/>
        </w:rPr>
        <w:t>Сведения о достижении вышеуказанной запланированной величины индикатора носят оперативный оценочный характер и могут быть уточнены.</w:t>
      </w:r>
    </w:p>
  </w:footnote>
  <w:footnote w:id="7">
    <w:p>
      <w:pPr>
        <w:pStyle w:val="Style51"/>
        <w:jc w:val="both"/>
        <w:rPr/>
      </w:pPr>
      <w:r>
        <w:rPr>
          <w:rStyle w:val="Style21"/>
        </w:rPr>
        <w:footnoteRef/>
      </w:r>
      <w:r>
        <w:rPr/>
        <w:t xml:space="preserve"> </w:t>
      </w:r>
      <w:r>
        <w:rPr>
          <w:sz w:val="20"/>
        </w:rPr>
        <w:t>Указанная величина носит оценочный характер и может быть уточнена с учетом информации федерального статистического наблюдения по форме № 1-БКАД «Сведения о национальном проекте «Безопасные и качественные автомобильные дороги», срок представления которой в соответствии с Федеральным планом статистических работ, утвержденным распоряжением Правительства Российской Федерации от 6 мая 2008 г. № 671-р, установлен</w:t>
        <w:br/>
        <w:t>на 25 апреля года, следующего за отчетным.</w:t>
      </w:r>
    </w:p>
  </w:footnote>
  <w:footnote w:id="8">
    <w:p>
      <w:pPr>
        <w:pStyle w:val="Footnote1"/>
        <w:jc w:val="both"/>
        <w:rPr/>
      </w:pPr>
      <w:r>
        <w:rPr>
          <w:rStyle w:val="Style21"/>
        </w:rPr>
        <w:footnoteRef/>
      </w:r>
      <w:r>
        <w:rPr/>
        <w:t xml:space="preserve"> </w:t>
      </w:r>
      <w:r>
        <w:rPr/>
        <w:t>Согласно предварительному отчету о ходе реализации государственной программы Российской Федерации «Развитие транспортной системы» за 2021 год.</w:t>
      </w:r>
    </w:p>
  </w:footnote>
  <w:footnote w:id="9">
    <w:p>
      <w:pPr>
        <w:pStyle w:val="Style51"/>
        <w:jc w:val="both"/>
        <w:rPr/>
      </w:pPr>
      <w:r>
        <w:rPr>
          <w:rStyle w:val="Style21"/>
        </w:rPr>
        <w:footnoteRef/>
      </w:r>
      <w:r>
        <w:rPr/>
        <w:t xml:space="preserve"> </w:t>
      </w:r>
      <w:r>
        <w:rPr>
          <w:sz w:val="20"/>
        </w:rPr>
        <w:t>Сведения о достижении вышеуказанной запланированной величины индикатора носят оперативный оценочный характер и могут быть уточнены.</w:t>
      </w:r>
    </w:p>
  </w:footnote>
  <w:footnote w:id="10">
    <w:p>
      <w:pPr>
        <w:pStyle w:val="Style51"/>
        <w:jc w:val="both"/>
        <w:rPr>
          <w:sz w:val="20"/>
        </w:rPr>
      </w:pPr>
      <w:r>
        <w:rPr>
          <w:rStyle w:val="Style21"/>
        </w:rPr>
        <w:footnoteRef/>
      </w:r>
      <w:r>
        <w:rPr>
          <w:sz w:val="20"/>
        </w:rPr>
        <w:t xml:space="preserve"> </w:t>
      </w:r>
      <w:r>
        <w:rPr>
          <w:sz w:val="20"/>
        </w:rPr>
        <w:t>Согласно предварительному отчету о ходе реализации государственной программы Российской Федерации «Развитие транспортной системы» за 2021 год.</w:t>
      </w:r>
    </w:p>
  </w:footnote>
  <w:footnote w:id="11">
    <w:p>
      <w:pPr>
        <w:pStyle w:val="Footnote1"/>
        <w:jc w:val="both"/>
        <w:rPr/>
      </w:pPr>
      <w:r>
        <w:rPr>
          <w:rStyle w:val="Style21"/>
        </w:rPr>
        <w:footnoteRef/>
      </w:r>
      <w:r>
        <w:rPr/>
        <w:t xml:space="preserve"> </w:t>
      </w:r>
      <w:r>
        <w:rPr/>
        <w:t>Согласно предварительному отчету о ходе реализации государственной программы Российской Федерации «Развитие транспортной системы» за 2021 год.</w:t>
      </w:r>
    </w:p>
  </w:footnote>
  <w:footnote w:id="12">
    <w:p>
      <w:pPr>
        <w:pStyle w:val="Footnote1"/>
        <w:jc w:val="both"/>
        <w:rPr/>
      </w:pPr>
      <w:r>
        <w:rPr>
          <w:rStyle w:val="Style21"/>
        </w:rPr>
        <w:footnoteRef/>
      </w:r>
      <w:r>
        <w:rPr/>
        <w:t xml:space="preserve"> </w:t>
      </w:r>
      <w:r>
        <w:rPr/>
        <w:t>Согласно предварительному отчету о ходе реализации государственной программы Российской Федерации «Развитие транспортной системы» за 2021 год.</w:t>
      </w:r>
    </w:p>
  </w:footnote>
  <w:footnote w:id="13">
    <w:p>
      <w:pPr>
        <w:pStyle w:val="Footnote1"/>
        <w:jc w:val="both"/>
        <w:rPr/>
      </w:pPr>
      <w:r>
        <w:rPr>
          <w:rStyle w:val="Style21"/>
        </w:rPr>
        <w:footnoteRef/>
      </w:r>
      <w:r>
        <w:rPr/>
        <w:t xml:space="preserve"> </w:t>
      </w:r>
      <w:r>
        <w:rPr/>
        <w:t>Сведения о достижении запланированной величины индикатора носят оперативный оценочный характер и могут быть уточнены после завершения формирования информации по форме федерального статистического наблюдения</w:t>
        <w:br/>
        <w:t>№ 1-БКАД, срок предоставления показателей из которой в соответствии с Федеральным планом статистических работ, утвержденным распоряжением Правительства Российской Федерации от 6 мая 2008 г. № 671-р, установлен</w:t>
        <w:br/>
        <w:t>на 25 апреля года, следующего за отчетным годом.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7010657"/>
    </w:sdtPr>
    <w:sdtContent>
      <w:p>
        <w:pPr>
          <w:pStyle w:val="Style43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43"/>
          <w:jc w:val="center"/>
          <w:rPr>
            <w:sz w:val="10"/>
            <w:szCs w:val="10"/>
          </w:rPr>
        </w:pPr>
        <w:r>
          <w:rPr>
            <w:sz w:val="10"/>
            <w:szCs w:val="10"/>
          </w:rPr>
        </w:r>
      </w:p>
    </w:sdtContent>
  </w:sdt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̶"/>
      <w:lvlJc w:val="left"/>
      <w:pPr>
        <w:tabs>
          <w:tab w:val="num" w:pos="0"/>
        </w:tabs>
        <w:ind w:left="142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̶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̶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̶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̶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̶"/>
      <w:lvlJc w:val="left"/>
      <w:pPr>
        <w:tabs>
          <w:tab w:val="num" w:pos="0"/>
        </w:tabs>
        <w:ind w:left="4614" w:hanging="360"/>
      </w:pPr>
      <w:rPr>
        <w:rFonts w:ascii="Times New Roman" w:hAnsi="Times New Roman" w:cs="Times New Roman" w:hint="default"/>
        <w:sz w:val="28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8.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bullet"/>
      <w:lvlText w:val="̶"/>
      <w:lvlJc w:val="left"/>
      <w:pPr>
        <w:tabs>
          <w:tab w:val="num" w:pos="0"/>
        </w:tabs>
        <w:ind w:left="4614" w:hanging="360"/>
      </w:pPr>
      <w:rPr>
        <w:rFonts w:ascii="Times New Roman" w:hAnsi="Times New Roman" w:cs="Times New Roman" w:hint="default"/>
        <w:sz w:val="28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8.%9."/>
      <w:lvlJc w:val="left"/>
      <w:pPr>
        <w:tabs>
          <w:tab w:val="num" w:pos="3600"/>
        </w:tabs>
        <w:ind w:left="3600" w:hanging="360"/>
      </w:pPr>
    </w:lvl>
  </w:abstractNum>
  <w:abstractNum w:abstractNumId="8">
    <w:lvl w:ilvl="0">
      <w:start w:val="1"/>
      <w:numFmt w:val="bullet"/>
      <w:lvlText w:val="̶"/>
      <w:lvlJc w:val="left"/>
      <w:pPr>
        <w:tabs>
          <w:tab w:val="num" w:pos="0"/>
        </w:tabs>
        <w:ind w:left="4614" w:hanging="360"/>
      </w:pPr>
      <w:rPr>
        <w:rFonts w:ascii="Times New Roman" w:hAnsi="Times New Roman" w:cs="Times New Roman" w:hint="default"/>
        <w:sz w:val="28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8.%9."/>
      <w:lvlJc w:val="left"/>
      <w:pPr>
        <w:tabs>
          <w:tab w:val="num" w:pos="3600"/>
        </w:tabs>
        <w:ind w:left="3600" w:hanging="360"/>
      </w:pPr>
    </w:lvl>
  </w:abstractNum>
  <w:abstractNum w:abstractNumId="9">
    <w:lvl w:ilvl="0">
      <w:start w:val="1"/>
      <w:numFmt w:val="bullet"/>
      <w:lvlText w:val="̶"/>
      <w:lvlJc w:val="left"/>
      <w:pPr>
        <w:tabs>
          <w:tab w:val="num" w:pos="0"/>
        </w:tabs>
        <w:ind w:left="4614" w:hanging="360"/>
      </w:pPr>
      <w:rPr>
        <w:rFonts w:ascii="Times New Roman" w:hAnsi="Times New Roman" w:cs="Times New Roman" w:hint="default"/>
        <w:sz w:val="28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8.%9."/>
      <w:lvlJc w:val="left"/>
      <w:pPr>
        <w:tabs>
          <w:tab w:val="num" w:pos="3600"/>
        </w:tabs>
        <w:ind w:left="3600" w:hanging="360"/>
      </w:pPr>
    </w:lvl>
  </w:abstractNum>
  <w:abstractNum w:abstractNumId="10">
    <w:lvl w:ilvl="0">
      <w:start w:val="1"/>
      <w:numFmt w:val="bullet"/>
      <w:lvlText w:val="-"/>
      <w:lvlJc w:val="left"/>
      <w:pPr>
        <w:tabs>
          <w:tab w:val="num" w:pos="0"/>
        </w:tabs>
        <w:ind w:left="4614" w:hanging="360"/>
      </w:pPr>
      <w:rPr>
        <w:rFonts w:ascii="Times New Roman" w:hAnsi="Times New Roman" w:cs="Times New Roman" w:hint="default"/>
        <w:sz w:val="28"/>
        <w:color w:val="000000"/>
      </w:rPr>
    </w:lvl>
    <w:lvl w:ilvl="1">
      <w:start w:val="1"/>
      <w:numFmt w:val="bullet"/>
      <w:lvlText w:val="̶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8.%9."/>
      <w:lvlJc w:val="left"/>
      <w:pPr>
        <w:tabs>
          <w:tab w:val="num" w:pos="3600"/>
        </w:tabs>
        <w:ind w:left="3600" w:hanging="360"/>
      </w:pPr>
    </w:lvl>
  </w:abstractNum>
  <w:abstractNum w:abstractNumId="11">
    <w:lvl w:ilvl="0">
      <w:start w:val="1"/>
      <w:numFmt w:val="bullet"/>
      <w:lvlText w:val="̶"/>
      <w:lvlJc w:val="left"/>
      <w:pPr>
        <w:tabs>
          <w:tab w:val="num" w:pos="0"/>
        </w:tabs>
        <w:ind w:left="4614" w:hanging="360"/>
      </w:pPr>
      <w:rPr>
        <w:rFonts w:ascii="Times New Roman" w:hAnsi="Times New Roman" w:cs="Times New Roman" w:hint="default"/>
        <w:sz w:val="28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8.%9."/>
      <w:lvlJc w:val="left"/>
      <w:pPr>
        <w:tabs>
          <w:tab w:val="num" w:pos="3600"/>
        </w:tabs>
        <w:ind w:left="3600" w:hanging="360"/>
      </w:pPr>
    </w:lvl>
  </w:abstractNum>
  <w:abstractNum w:abstractNumId="12">
    <w:lvl w:ilvl="0">
      <w:start w:val="1"/>
      <w:numFmt w:val="bullet"/>
      <w:lvlText w:val="̶"/>
      <w:lvlJc w:val="left"/>
      <w:pPr>
        <w:tabs>
          <w:tab w:val="num" w:pos="0"/>
        </w:tabs>
        <w:ind w:left="142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Droid Sans Devanagari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1" w:customStyle="1">
    <w:name w:val="Heading 1"/>
    <w:next w:val="Normal"/>
    <w:qFormat/>
    <w:rsid w:val="003c4386"/>
    <w:pPr>
      <w:widowControl/>
      <w:suppressAutoHyphens w:val="true"/>
      <w:bidi w:val="0"/>
      <w:spacing w:before="120" w:after="120"/>
      <w:jc w:val="left"/>
      <w:outlineLvl w:val="0"/>
    </w:pPr>
    <w:rPr>
      <w:rFonts w:ascii="XO Thames" w:hAnsi="XO Thames" w:eastAsia="Tahoma" w:cs="Droid Sans Devanagari"/>
      <w:b/>
      <w:color w:val="000000"/>
      <w:kern w:val="0"/>
      <w:sz w:val="32"/>
      <w:szCs w:val="20"/>
      <w:lang w:val="ru-RU" w:eastAsia="zh-CN" w:bidi="hi-IN"/>
    </w:rPr>
  </w:style>
  <w:style w:type="paragraph" w:styleId="2" w:customStyle="1">
    <w:name w:val="Heading 2"/>
    <w:next w:val="Normal"/>
    <w:qFormat/>
    <w:rsid w:val="003c4386"/>
    <w:pPr>
      <w:widowControl/>
      <w:suppressAutoHyphens w:val="true"/>
      <w:bidi w:val="0"/>
      <w:spacing w:before="120" w:after="120"/>
      <w:jc w:val="left"/>
      <w:outlineLvl w:val="1"/>
    </w:pPr>
    <w:rPr>
      <w:rFonts w:ascii="XO Thames" w:hAnsi="XO Thames" w:eastAsia="Tahoma" w:cs="Droid Sans Devanagari"/>
      <w:b/>
      <w:color w:val="00A0FF"/>
      <w:kern w:val="0"/>
      <w:sz w:val="26"/>
      <w:szCs w:val="20"/>
      <w:lang w:val="ru-RU" w:eastAsia="zh-CN" w:bidi="hi-IN"/>
    </w:rPr>
  </w:style>
  <w:style w:type="paragraph" w:styleId="3" w:customStyle="1">
    <w:name w:val="Heading 3"/>
    <w:next w:val="Normal"/>
    <w:qFormat/>
    <w:rsid w:val="003c4386"/>
    <w:pPr>
      <w:widowControl/>
      <w:suppressAutoHyphens w:val="true"/>
      <w:bidi w:val="0"/>
      <w:spacing w:before="0" w:after="0"/>
      <w:jc w:val="left"/>
      <w:outlineLvl w:val="2"/>
    </w:pPr>
    <w:rPr>
      <w:rFonts w:ascii="XO Thames" w:hAnsi="XO Thames" w:eastAsia="Tahoma" w:cs="Droid Sans Devanagari"/>
      <w:b/>
      <w:i/>
      <w:color w:val="000000"/>
      <w:kern w:val="0"/>
      <w:sz w:val="20"/>
      <w:szCs w:val="20"/>
      <w:lang w:val="ru-RU" w:eastAsia="zh-CN" w:bidi="hi-IN"/>
    </w:rPr>
  </w:style>
  <w:style w:type="paragraph" w:styleId="4" w:customStyle="1">
    <w:name w:val="Heading 4"/>
    <w:next w:val="Normal"/>
    <w:qFormat/>
    <w:rsid w:val="003c4386"/>
    <w:pPr>
      <w:widowControl/>
      <w:suppressAutoHyphens w:val="true"/>
      <w:bidi w:val="0"/>
      <w:spacing w:before="120" w:after="120"/>
      <w:jc w:val="left"/>
      <w:outlineLvl w:val="3"/>
    </w:pPr>
    <w:rPr>
      <w:rFonts w:ascii="XO Thames" w:hAnsi="XO Thames" w:eastAsia="Tahoma" w:cs="Droid Sans Devanagari"/>
      <w:b/>
      <w:color w:val="595959"/>
      <w:kern w:val="0"/>
      <w:sz w:val="26"/>
      <w:szCs w:val="20"/>
      <w:lang w:val="ru-RU" w:eastAsia="zh-CN" w:bidi="hi-IN"/>
    </w:rPr>
  </w:style>
  <w:style w:type="paragraph" w:styleId="5" w:customStyle="1">
    <w:name w:val="Heading 5"/>
    <w:next w:val="Normal"/>
    <w:qFormat/>
    <w:rsid w:val="003c4386"/>
    <w:pPr>
      <w:widowControl/>
      <w:suppressAutoHyphens w:val="true"/>
      <w:bidi w:val="0"/>
      <w:spacing w:before="120" w:after="120"/>
      <w:jc w:val="left"/>
      <w:outlineLvl w:val="4"/>
    </w:pPr>
    <w:rPr>
      <w:rFonts w:ascii="XO Thames" w:hAnsi="XO Thames" w:eastAsia="Tahoma" w:cs="Droid Sans Devanagari"/>
      <w:b/>
      <w:color w:val="000000"/>
      <w:kern w:val="0"/>
      <w:sz w:val="22"/>
      <w:szCs w:val="20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33z4" w:customStyle="1">
    <w:name w:val="WW8Num33z4"/>
    <w:qFormat/>
    <w:rsid w:val="003c4386"/>
    <w:rPr/>
  </w:style>
  <w:style w:type="character" w:styleId="WW8Num5z3" w:customStyle="1">
    <w:name w:val="WW8Num5z3"/>
    <w:qFormat/>
    <w:rsid w:val="003c4386"/>
    <w:rPr>
      <w:rFonts w:ascii="Symbol" w:hAnsi="Symbol"/>
    </w:rPr>
  </w:style>
  <w:style w:type="character" w:styleId="WW8Num35z0" w:customStyle="1">
    <w:name w:val="WW8Num35z0"/>
    <w:qFormat/>
    <w:rsid w:val="003c4386"/>
    <w:rPr>
      <w:rFonts w:ascii="Symbol" w:hAnsi="Symbol"/>
      <w:color w:val="000000"/>
      <w:sz w:val="28"/>
    </w:rPr>
  </w:style>
  <w:style w:type="character" w:styleId="WW8Num5z2" w:customStyle="1">
    <w:name w:val="WW8Num5z2"/>
    <w:qFormat/>
    <w:rsid w:val="003c4386"/>
    <w:rPr>
      <w:rFonts w:ascii="Wingdings" w:hAnsi="Wingdings"/>
    </w:rPr>
  </w:style>
  <w:style w:type="character" w:styleId="Contents2" w:customStyle="1">
    <w:name w:val="Contents 2"/>
    <w:qFormat/>
    <w:rsid w:val="003c4386"/>
    <w:rPr/>
  </w:style>
  <w:style w:type="character" w:styleId="WW8Num25z2" w:customStyle="1">
    <w:name w:val="WW8Num25z2"/>
    <w:qFormat/>
    <w:rsid w:val="003c4386"/>
    <w:rPr>
      <w:rFonts w:ascii="Wingdings" w:hAnsi="Wingdings"/>
    </w:rPr>
  </w:style>
  <w:style w:type="character" w:styleId="WW8Num36z3" w:customStyle="1">
    <w:name w:val="WW8Num36z3"/>
    <w:qFormat/>
    <w:rsid w:val="003c4386"/>
    <w:rPr>
      <w:rFonts w:ascii="Symbol" w:hAnsi="Symbol"/>
    </w:rPr>
  </w:style>
  <w:style w:type="character" w:styleId="WW8Num32z1" w:customStyle="1">
    <w:name w:val="WW8Num32z1"/>
    <w:qFormat/>
    <w:rsid w:val="003c4386"/>
    <w:rPr>
      <w:rFonts w:ascii="Courier New" w:hAnsi="Courier New"/>
    </w:rPr>
  </w:style>
  <w:style w:type="character" w:styleId="WW8Num33z3" w:customStyle="1">
    <w:name w:val="WW8Num33z3"/>
    <w:qFormat/>
    <w:rsid w:val="003c4386"/>
    <w:rPr/>
  </w:style>
  <w:style w:type="character" w:styleId="Contents4" w:customStyle="1">
    <w:name w:val="Contents 4"/>
    <w:qFormat/>
    <w:rsid w:val="003c4386"/>
    <w:rPr/>
  </w:style>
  <w:style w:type="character" w:styleId="Contents6" w:customStyle="1">
    <w:name w:val="Contents 6"/>
    <w:qFormat/>
    <w:rsid w:val="003c4386"/>
    <w:rPr/>
  </w:style>
  <w:style w:type="character" w:styleId="Contents7" w:customStyle="1">
    <w:name w:val="Contents 7"/>
    <w:qFormat/>
    <w:rsid w:val="003c4386"/>
    <w:rPr/>
  </w:style>
  <w:style w:type="character" w:styleId="WW8Num9z1" w:customStyle="1">
    <w:name w:val="WW8Num9z1"/>
    <w:qFormat/>
    <w:rsid w:val="003c4386"/>
    <w:rPr/>
  </w:style>
  <w:style w:type="character" w:styleId="WW8Num33z7" w:customStyle="1">
    <w:name w:val="WW8Num33z7"/>
    <w:qFormat/>
    <w:rsid w:val="003c4386"/>
    <w:rPr/>
  </w:style>
  <w:style w:type="character" w:styleId="WW8Num30z0" w:customStyle="1">
    <w:name w:val="WW8Num30z0"/>
    <w:qFormat/>
    <w:rsid w:val="003c4386"/>
    <w:rPr>
      <w:rFonts w:ascii="Symbol" w:hAnsi="Symbol"/>
      <w:sz w:val="16"/>
    </w:rPr>
  </w:style>
  <w:style w:type="character" w:styleId="Style9" w:customStyle="1">
    <w:name w:val="Заголовок"/>
    <w:qFormat/>
    <w:rsid w:val="003c4386"/>
    <w:rPr>
      <w:rFonts w:ascii="Liberation Sans" w:hAnsi="Liberation Sans"/>
      <w:sz w:val="28"/>
    </w:rPr>
  </w:style>
  <w:style w:type="character" w:styleId="11" w:customStyle="1">
    <w:name w:val="Текст выноски1"/>
    <w:qFormat/>
    <w:rsid w:val="003c4386"/>
    <w:rPr>
      <w:rFonts w:ascii="Tahoma" w:hAnsi="Tahoma"/>
      <w:sz w:val="16"/>
    </w:rPr>
  </w:style>
  <w:style w:type="character" w:styleId="WW8Num9z4" w:customStyle="1">
    <w:name w:val="WW8Num9z4"/>
    <w:qFormat/>
    <w:rsid w:val="003c4386"/>
    <w:rPr/>
  </w:style>
  <w:style w:type="character" w:styleId="WW8Num12z2" w:customStyle="1">
    <w:name w:val="WW8Num12z2"/>
    <w:qFormat/>
    <w:rsid w:val="003c4386"/>
    <w:rPr>
      <w:rFonts w:ascii="Wingdings" w:hAnsi="Wingdings"/>
    </w:rPr>
  </w:style>
  <w:style w:type="character" w:styleId="WW8Num2z3" w:customStyle="1">
    <w:name w:val="WW8Num2z3"/>
    <w:qFormat/>
    <w:rsid w:val="003c4386"/>
    <w:rPr>
      <w:rFonts w:ascii="Symbol" w:hAnsi="Symbol"/>
    </w:rPr>
  </w:style>
  <w:style w:type="character" w:styleId="WW8Num23z3" w:customStyle="1">
    <w:name w:val="WW8Num23z3"/>
    <w:qFormat/>
    <w:rsid w:val="003c4386"/>
    <w:rPr>
      <w:rFonts w:ascii="Symbol" w:hAnsi="Symbol"/>
    </w:rPr>
  </w:style>
  <w:style w:type="character" w:styleId="WW8Num16z3" w:customStyle="1">
    <w:name w:val="WW8Num16z3"/>
    <w:qFormat/>
    <w:rsid w:val="003c4386"/>
    <w:rPr>
      <w:rFonts w:ascii="Symbol" w:hAnsi="Symbol"/>
    </w:rPr>
  </w:style>
  <w:style w:type="character" w:styleId="Style10" w:customStyle="1">
    <w:name w:val="Основной текст Знак"/>
    <w:qFormat/>
    <w:rsid w:val="003c4386"/>
    <w:rPr>
      <w:sz w:val="24"/>
    </w:rPr>
  </w:style>
  <w:style w:type="character" w:styleId="WW8Num25z3" w:customStyle="1">
    <w:name w:val="WW8Num25z3"/>
    <w:qFormat/>
    <w:rsid w:val="003c4386"/>
    <w:rPr>
      <w:rFonts w:ascii="Symbol" w:hAnsi="Symbol"/>
    </w:rPr>
  </w:style>
  <w:style w:type="character" w:styleId="Heading3" w:customStyle="1">
    <w:name w:val="Heading 3"/>
    <w:qFormat/>
    <w:rsid w:val="003c4386"/>
    <w:rPr>
      <w:rFonts w:ascii="XO Thames" w:hAnsi="XO Thames"/>
      <w:b/>
      <w:i/>
      <w:color w:val="000000"/>
    </w:rPr>
  </w:style>
  <w:style w:type="character" w:styleId="WW8Num17z2" w:customStyle="1">
    <w:name w:val="WW8Num17z2"/>
    <w:qFormat/>
    <w:rsid w:val="003c4386"/>
    <w:rPr>
      <w:rFonts w:ascii="Wingdings" w:hAnsi="Wingdings"/>
    </w:rPr>
  </w:style>
  <w:style w:type="character" w:styleId="WW8Num33z5" w:customStyle="1">
    <w:name w:val="WW8Num33z5"/>
    <w:qFormat/>
    <w:rsid w:val="003c4386"/>
    <w:rPr/>
  </w:style>
  <w:style w:type="character" w:styleId="WW8Num20z0" w:customStyle="1">
    <w:name w:val="WW8Num20z0"/>
    <w:qFormat/>
    <w:rsid w:val="003c4386"/>
    <w:rPr>
      <w:rFonts w:ascii="Wingdings" w:hAnsi="Wingdings"/>
    </w:rPr>
  </w:style>
  <w:style w:type="character" w:styleId="WW8Num15z1" w:customStyle="1">
    <w:name w:val="WW8Num15z1"/>
    <w:qFormat/>
    <w:rsid w:val="003c4386"/>
    <w:rPr>
      <w:rFonts w:ascii="Courier New" w:hAnsi="Courier New"/>
    </w:rPr>
  </w:style>
  <w:style w:type="character" w:styleId="WW8Num6z0" w:customStyle="1">
    <w:name w:val="WW8Num6z0"/>
    <w:qFormat/>
    <w:rsid w:val="003c4386"/>
    <w:rPr>
      <w:rFonts w:ascii="Wingdings" w:hAnsi="Wingdings"/>
    </w:rPr>
  </w:style>
  <w:style w:type="character" w:styleId="12" w:customStyle="1">
    <w:name w:val="Без интервала1"/>
    <w:qFormat/>
    <w:rsid w:val="003c4386"/>
    <w:rPr>
      <w:rFonts w:ascii="Times New Roman" w:hAnsi="Times New Roman"/>
      <w:color w:val="000000"/>
      <w:sz w:val="24"/>
    </w:rPr>
  </w:style>
  <w:style w:type="character" w:styleId="95pt" w:customStyle="1">
    <w:name w:val="Основной текст + 9;5 pt"/>
    <w:qFormat/>
    <w:rsid w:val="003c4386"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19"/>
      <w:u w:val="none"/>
      <w:shd w:fill="FFFFFF" w:val="clear"/>
    </w:rPr>
  </w:style>
  <w:style w:type="character" w:styleId="21" w:customStyle="1">
    <w:name w:val="Основной текст 21"/>
    <w:qFormat/>
    <w:rsid w:val="003c4386"/>
    <w:rPr>
      <w:sz w:val="28"/>
    </w:rPr>
  </w:style>
  <w:style w:type="character" w:styleId="WW8Num3z7" w:customStyle="1">
    <w:name w:val="WW8Num3z7"/>
    <w:qFormat/>
    <w:rsid w:val="003c4386"/>
    <w:rPr/>
  </w:style>
  <w:style w:type="character" w:styleId="Font11" w:customStyle="1">
    <w:name w:val="font11"/>
    <w:qFormat/>
    <w:rsid w:val="003c4386"/>
    <w:rPr>
      <w:color w:val="000000"/>
    </w:rPr>
  </w:style>
  <w:style w:type="character" w:styleId="WW8Num10z3" w:customStyle="1">
    <w:name w:val="WW8Num10z3"/>
    <w:qFormat/>
    <w:rsid w:val="003c4386"/>
    <w:rPr>
      <w:rFonts w:ascii="Symbol" w:hAnsi="Symbol"/>
    </w:rPr>
  </w:style>
  <w:style w:type="character" w:styleId="Style11" w:customStyle="1">
    <w:name w:val="Нижний колонтитул Знак"/>
    <w:qFormat/>
    <w:rsid w:val="003c4386"/>
    <w:rPr>
      <w:sz w:val="24"/>
    </w:rPr>
  </w:style>
  <w:style w:type="character" w:styleId="WW8Num3z3" w:customStyle="1">
    <w:name w:val="WW8Num3z3"/>
    <w:qFormat/>
    <w:rsid w:val="003c4386"/>
    <w:rPr/>
  </w:style>
  <w:style w:type="character" w:styleId="WW8Num31z4" w:customStyle="1">
    <w:name w:val="WW8Num31z4"/>
    <w:qFormat/>
    <w:rsid w:val="003c4386"/>
    <w:rPr>
      <w:rFonts w:ascii="Courier New" w:hAnsi="Courier New"/>
    </w:rPr>
  </w:style>
  <w:style w:type="character" w:styleId="WW8Num28z1" w:customStyle="1">
    <w:name w:val="WW8Num28z1"/>
    <w:qFormat/>
    <w:rsid w:val="003c4386"/>
    <w:rPr>
      <w:rFonts w:ascii="Courier New" w:hAnsi="Courier New"/>
    </w:rPr>
  </w:style>
  <w:style w:type="character" w:styleId="WW8Num17z0" w:customStyle="1">
    <w:name w:val="WW8Num17z0"/>
    <w:qFormat/>
    <w:rsid w:val="003c4386"/>
    <w:rPr>
      <w:rFonts w:ascii="Symbol" w:hAnsi="Symbol"/>
    </w:rPr>
  </w:style>
  <w:style w:type="character" w:styleId="WW8Num3z1" w:customStyle="1">
    <w:name w:val="WW8Num3z1"/>
    <w:qFormat/>
    <w:rsid w:val="003c4386"/>
    <w:rPr/>
  </w:style>
  <w:style w:type="character" w:styleId="Style12" w:customStyle="1">
    <w:name w:val="Заголовок таблицы"/>
    <w:basedOn w:val="Style13"/>
    <w:qFormat/>
    <w:rsid w:val="003c4386"/>
    <w:rPr>
      <w:b/>
    </w:rPr>
  </w:style>
  <w:style w:type="character" w:styleId="WW8Num34z3" w:customStyle="1">
    <w:name w:val="WW8Num34z3"/>
    <w:qFormat/>
    <w:rsid w:val="003c4386"/>
    <w:rPr>
      <w:rFonts w:ascii="Symbol" w:hAnsi="Symbol"/>
    </w:rPr>
  </w:style>
  <w:style w:type="character" w:styleId="WW8Num19z3" w:customStyle="1">
    <w:name w:val="WW8Num19z3"/>
    <w:qFormat/>
    <w:rsid w:val="003c4386"/>
    <w:rPr>
      <w:rFonts w:ascii="Symbol" w:hAnsi="Symbol"/>
    </w:rPr>
  </w:style>
  <w:style w:type="character" w:styleId="WW8Num35z1" w:customStyle="1">
    <w:name w:val="WW8Num35z1"/>
    <w:qFormat/>
    <w:rsid w:val="003c4386"/>
    <w:rPr>
      <w:rFonts w:ascii="Courier New" w:hAnsi="Courier New"/>
    </w:rPr>
  </w:style>
  <w:style w:type="character" w:styleId="WW8Num26z0" w:customStyle="1">
    <w:name w:val="WW8Num26z0"/>
    <w:qFormat/>
    <w:rsid w:val="003c4386"/>
    <w:rPr>
      <w:rFonts w:ascii="Wingdings" w:hAnsi="Wingdings"/>
    </w:rPr>
  </w:style>
  <w:style w:type="character" w:styleId="Footer" w:customStyle="1">
    <w:name w:val="Footer"/>
    <w:qFormat/>
    <w:rsid w:val="003c4386"/>
    <w:rPr/>
  </w:style>
  <w:style w:type="character" w:styleId="WW8Num18z2" w:customStyle="1">
    <w:name w:val="WW8Num18z2"/>
    <w:qFormat/>
    <w:rsid w:val="003c4386"/>
    <w:rPr/>
  </w:style>
  <w:style w:type="character" w:styleId="WW8Num31z3" w:customStyle="1">
    <w:name w:val="WW8Num31z3"/>
    <w:qFormat/>
    <w:rsid w:val="003c4386"/>
    <w:rPr>
      <w:rFonts w:ascii="Symbol" w:hAnsi="Symbol"/>
    </w:rPr>
  </w:style>
  <w:style w:type="character" w:styleId="WW8Num9z0" w:customStyle="1">
    <w:name w:val="WW8Num9z0"/>
    <w:qFormat/>
    <w:rsid w:val="003c4386"/>
    <w:rPr>
      <w:color w:val="000000"/>
    </w:rPr>
  </w:style>
  <w:style w:type="character" w:styleId="WW8Num30z3" w:customStyle="1">
    <w:name w:val="WW8Num30z3"/>
    <w:qFormat/>
    <w:rsid w:val="003c4386"/>
    <w:rPr>
      <w:rFonts w:ascii="Symbol" w:hAnsi="Symbol"/>
    </w:rPr>
  </w:style>
  <w:style w:type="character" w:styleId="WW8Num24z1" w:customStyle="1">
    <w:name w:val="WW8Num24z1"/>
    <w:qFormat/>
    <w:rsid w:val="003c4386"/>
    <w:rPr>
      <w:rFonts w:ascii="Courier New" w:hAnsi="Courier New"/>
    </w:rPr>
  </w:style>
  <w:style w:type="character" w:styleId="WW8Num18z3" w:customStyle="1">
    <w:name w:val="WW8Num18z3"/>
    <w:qFormat/>
    <w:rsid w:val="003c4386"/>
    <w:rPr/>
  </w:style>
  <w:style w:type="character" w:styleId="WW8Num21z0" w:customStyle="1">
    <w:name w:val="WW8Num21z0"/>
    <w:qFormat/>
    <w:rsid w:val="003c4386"/>
    <w:rPr>
      <w:rFonts w:ascii="Wingdings" w:hAnsi="Wingdings"/>
    </w:rPr>
  </w:style>
  <w:style w:type="character" w:styleId="Style13" w:customStyle="1">
    <w:name w:val="Содержимое таблицы"/>
    <w:qFormat/>
    <w:rsid w:val="003c4386"/>
    <w:rPr/>
  </w:style>
  <w:style w:type="character" w:styleId="WW8Num15z2" w:customStyle="1">
    <w:name w:val="WW8Num15z2"/>
    <w:qFormat/>
    <w:rsid w:val="003c4386"/>
    <w:rPr>
      <w:rFonts w:ascii="Wingdings" w:hAnsi="Wingdings"/>
    </w:rPr>
  </w:style>
  <w:style w:type="character" w:styleId="WW8Num24z0" w:customStyle="1">
    <w:name w:val="WW8Num24z0"/>
    <w:qFormat/>
    <w:rsid w:val="003c4386"/>
    <w:rPr>
      <w:rFonts w:ascii="Wingdings" w:hAnsi="Wingdings"/>
    </w:rPr>
  </w:style>
  <w:style w:type="character" w:styleId="WW8Num28z0" w:customStyle="1">
    <w:name w:val="WW8Num28z0"/>
    <w:qFormat/>
    <w:rsid w:val="003c4386"/>
    <w:rPr>
      <w:rFonts w:ascii="Symbol" w:hAnsi="Symbol"/>
    </w:rPr>
  </w:style>
  <w:style w:type="character" w:styleId="WW8Num17z1" w:customStyle="1">
    <w:name w:val="WW8Num17z1"/>
    <w:qFormat/>
    <w:rsid w:val="003c4386"/>
    <w:rPr>
      <w:rFonts w:ascii="Courier New" w:hAnsi="Courier New"/>
    </w:rPr>
  </w:style>
  <w:style w:type="character" w:styleId="WW8Num7z1" w:customStyle="1">
    <w:name w:val="WW8Num7z1"/>
    <w:qFormat/>
    <w:rsid w:val="003c4386"/>
    <w:rPr>
      <w:rFonts w:ascii="Courier New" w:hAnsi="Courier New"/>
    </w:rPr>
  </w:style>
  <w:style w:type="character" w:styleId="WW8Num34z1" w:customStyle="1">
    <w:name w:val="WW8Num34z1"/>
    <w:qFormat/>
    <w:rsid w:val="003c4386"/>
    <w:rPr>
      <w:rFonts w:ascii="Courier New" w:hAnsi="Courier New"/>
    </w:rPr>
  </w:style>
  <w:style w:type="character" w:styleId="WW8Num24z3" w:customStyle="1">
    <w:name w:val="WW8Num24z3"/>
    <w:qFormat/>
    <w:rsid w:val="003c4386"/>
    <w:rPr>
      <w:rFonts w:ascii="Symbol" w:hAnsi="Symbol"/>
    </w:rPr>
  </w:style>
  <w:style w:type="character" w:styleId="WW8Num19z2" w:customStyle="1">
    <w:name w:val="WW8Num19z2"/>
    <w:qFormat/>
    <w:rsid w:val="003c4386"/>
    <w:rPr>
      <w:rFonts w:ascii="Wingdings" w:hAnsi="Wingdings"/>
    </w:rPr>
  </w:style>
  <w:style w:type="character" w:styleId="WW8Num1z0" w:customStyle="1">
    <w:name w:val="WW8Num1z0"/>
    <w:qFormat/>
    <w:rsid w:val="003c4386"/>
    <w:rPr>
      <w:color w:val="000000"/>
    </w:rPr>
  </w:style>
  <w:style w:type="character" w:styleId="WW8Num3z5" w:customStyle="1">
    <w:name w:val="WW8Num3z5"/>
    <w:qFormat/>
    <w:rsid w:val="003c4386"/>
    <w:rPr/>
  </w:style>
  <w:style w:type="character" w:styleId="WW8Num22z3" w:customStyle="1">
    <w:name w:val="WW8Num22z3"/>
    <w:qFormat/>
    <w:rsid w:val="003c4386"/>
    <w:rPr>
      <w:rFonts w:ascii="Symbol" w:hAnsi="Symbol"/>
    </w:rPr>
  </w:style>
  <w:style w:type="character" w:styleId="WW8Num23z0" w:customStyle="1">
    <w:name w:val="WW8Num23z0"/>
    <w:qFormat/>
    <w:rsid w:val="003c4386"/>
    <w:rPr>
      <w:rFonts w:ascii="Wingdings" w:hAnsi="Wingdings"/>
    </w:rPr>
  </w:style>
  <w:style w:type="character" w:styleId="WW8Num23z1" w:customStyle="1">
    <w:name w:val="WW8Num23z1"/>
    <w:qFormat/>
    <w:rsid w:val="003c4386"/>
    <w:rPr>
      <w:rFonts w:ascii="Courier New" w:hAnsi="Courier New"/>
    </w:rPr>
  </w:style>
  <w:style w:type="character" w:styleId="WW8Num21z3" w:customStyle="1">
    <w:name w:val="WW8Num21z3"/>
    <w:qFormat/>
    <w:rsid w:val="003c4386"/>
    <w:rPr>
      <w:rFonts w:ascii="Symbol" w:hAnsi="Symbol"/>
    </w:rPr>
  </w:style>
  <w:style w:type="character" w:styleId="WW8Num16z1" w:customStyle="1">
    <w:name w:val="WW8Num16z1"/>
    <w:qFormat/>
    <w:rsid w:val="003c4386"/>
    <w:rPr>
      <w:rFonts w:ascii="Courier New" w:hAnsi="Courier New"/>
    </w:rPr>
  </w:style>
  <w:style w:type="character" w:styleId="WW8Num5z1" w:customStyle="1">
    <w:name w:val="WW8Num5z1"/>
    <w:qFormat/>
    <w:rsid w:val="003c4386"/>
    <w:rPr>
      <w:rFonts w:ascii="Courier New" w:hAnsi="Courier New"/>
    </w:rPr>
  </w:style>
  <w:style w:type="character" w:styleId="WW8Num29z1" w:customStyle="1">
    <w:name w:val="WW8Num29z1"/>
    <w:qFormat/>
    <w:rsid w:val="003c4386"/>
    <w:rPr>
      <w:rFonts w:ascii="Courier New" w:hAnsi="Courier New"/>
    </w:rPr>
  </w:style>
  <w:style w:type="character" w:styleId="Style14" w:customStyle="1">
    <w:name w:val="Основной текст_"/>
    <w:qFormat/>
    <w:rsid w:val="003c4386"/>
    <w:rPr>
      <w:sz w:val="26"/>
      <w:shd w:fill="FFFFFF" w:val="clear"/>
    </w:rPr>
  </w:style>
  <w:style w:type="character" w:styleId="WW8Num26z3" w:customStyle="1">
    <w:name w:val="WW8Num26z3"/>
    <w:qFormat/>
    <w:rsid w:val="003c4386"/>
    <w:rPr>
      <w:rFonts w:ascii="Symbol" w:hAnsi="Symbol"/>
    </w:rPr>
  </w:style>
  <w:style w:type="character" w:styleId="Contents3" w:customStyle="1">
    <w:name w:val="Contents 3"/>
    <w:qFormat/>
    <w:rsid w:val="003c4386"/>
    <w:rPr/>
  </w:style>
  <w:style w:type="character" w:styleId="WW8Num1z1" w:customStyle="1">
    <w:name w:val="WW8Num1z1"/>
    <w:qFormat/>
    <w:rsid w:val="003c4386"/>
    <w:rPr>
      <w:rFonts w:ascii="Courier New" w:hAnsi="Courier New"/>
    </w:rPr>
  </w:style>
  <w:style w:type="character" w:styleId="Style15" w:customStyle="1">
    <w:name w:val="Верхний колонтитул Знак"/>
    <w:uiPriority w:val="99"/>
    <w:qFormat/>
    <w:rsid w:val="003c4386"/>
    <w:rPr>
      <w:sz w:val="24"/>
    </w:rPr>
  </w:style>
  <w:style w:type="character" w:styleId="WW8Num12z0" w:customStyle="1">
    <w:name w:val="WW8Num12z0"/>
    <w:qFormat/>
    <w:rsid w:val="003c4386"/>
    <w:rPr>
      <w:rFonts w:ascii="Symbol" w:hAnsi="Symbol"/>
    </w:rPr>
  </w:style>
  <w:style w:type="character" w:styleId="13" w:customStyle="1">
    <w:name w:val="Абзац списка1"/>
    <w:qFormat/>
    <w:rsid w:val="003c4386"/>
    <w:rPr>
      <w:rFonts w:ascii="Calibri" w:hAnsi="Calibri"/>
      <w:sz w:val="22"/>
    </w:rPr>
  </w:style>
  <w:style w:type="character" w:styleId="WW8Num9z3" w:customStyle="1">
    <w:name w:val="WW8Num9z3"/>
    <w:qFormat/>
    <w:rsid w:val="003c4386"/>
    <w:rPr/>
  </w:style>
  <w:style w:type="character" w:styleId="WW8Num6z3" w:customStyle="1">
    <w:name w:val="WW8Num6z3"/>
    <w:qFormat/>
    <w:rsid w:val="003c4386"/>
    <w:rPr>
      <w:rFonts w:ascii="Symbol" w:hAnsi="Symbol"/>
    </w:rPr>
  </w:style>
  <w:style w:type="character" w:styleId="WW8Num27z8" w:customStyle="1">
    <w:name w:val="WW8Num27z8"/>
    <w:qFormat/>
    <w:rsid w:val="003c4386"/>
    <w:rPr/>
  </w:style>
  <w:style w:type="character" w:styleId="WW8Num30z2" w:customStyle="1">
    <w:name w:val="WW8Num30z2"/>
    <w:qFormat/>
    <w:rsid w:val="003c4386"/>
    <w:rPr>
      <w:rFonts w:ascii="Wingdings" w:hAnsi="Wingdings"/>
    </w:rPr>
  </w:style>
  <w:style w:type="character" w:styleId="WW8Num18z6" w:customStyle="1">
    <w:name w:val="WW8Num18z6"/>
    <w:qFormat/>
    <w:rsid w:val="003c4386"/>
    <w:rPr/>
  </w:style>
  <w:style w:type="character" w:styleId="WW8Num36z0" w:customStyle="1">
    <w:name w:val="WW8Num36z0"/>
    <w:qFormat/>
    <w:rsid w:val="003c4386"/>
    <w:rPr>
      <w:rFonts w:ascii="Symbol" w:hAnsi="Symbol"/>
      <w:sz w:val="16"/>
    </w:rPr>
  </w:style>
  <w:style w:type="character" w:styleId="WW8Num12z1" w:customStyle="1">
    <w:name w:val="WW8Num12z1"/>
    <w:qFormat/>
    <w:rsid w:val="003c4386"/>
    <w:rPr>
      <w:rFonts w:ascii="Courier New" w:hAnsi="Courier New"/>
    </w:rPr>
  </w:style>
  <w:style w:type="character" w:styleId="14" w:customStyle="1">
    <w:name w:val="Список1"/>
    <w:basedOn w:val="Textbody"/>
    <w:qFormat/>
    <w:rsid w:val="003c4386"/>
    <w:rPr/>
  </w:style>
  <w:style w:type="character" w:styleId="WW8Num27z6" w:customStyle="1">
    <w:name w:val="WW8Num27z6"/>
    <w:qFormat/>
    <w:rsid w:val="003c4386"/>
    <w:rPr/>
  </w:style>
  <w:style w:type="character" w:styleId="P1mailrucssattributepostfix" w:customStyle="1">
    <w:name w:val="p1_mailru_css_attribute_postfix"/>
    <w:qFormat/>
    <w:rsid w:val="003c4386"/>
    <w:rPr>
      <w:color w:val="000000"/>
    </w:rPr>
  </w:style>
  <w:style w:type="character" w:styleId="15" w:customStyle="1">
    <w:name w:val="Обычный1"/>
    <w:qFormat/>
    <w:rsid w:val="003c4386"/>
    <w:rPr>
      <w:rFonts w:ascii="Times New Roman" w:hAnsi="Times New Roman"/>
      <w:sz w:val="24"/>
    </w:rPr>
  </w:style>
  <w:style w:type="character" w:styleId="WW8Num16z2" w:customStyle="1">
    <w:name w:val="WW8Num16z2"/>
    <w:qFormat/>
    <w:rsid w:val="003c4386"/>
    <w:rPr>
      <w:rFonts w:ascii="Wingdings" w:hAnsi="Wingdings"/>
    </w:rPr>
  </w:style>
  <w:style w:type="character" w:styleId="Style16" w:customStyle="1">
    <w:name w:val="Привязка сноски"/>
    <w:rsid w:val="003c4386"/>
    <w:rPr>
      <w:vertAlign w:val="superscript"/>
    </w:rPr>
  </w:style>
  <w:style w:type="character" w:styleId="FootnoteCharacters" w:customStyle="1">
    <w:name w:val="Footnote Characters"/>
    <w:qFormat/>
    <w:rsid w:val="003c4386"/>
    <w:rPr>
      <w:vertAlign w:val="superscript"/>
    </w:rPr>
  </w:style>
  <w:style w:type="character" w:styleId="WW8Num1z2" w:customStyle="1">
    <w:name w:val="WW8Num1z2"/>
    <w:qFormat/>
    <w:rsid w:val="003c4386"/>
    <w:rPr>
      <w:rFonts w:ascii="Wingdings" w:hAnsi="Wingdings"/>
    </w:rPr>
  </w:style>
  <w:style w:type="character" w:styleId="WW8Num33z1" w:customStyle="1">
    <w:name w:val="WW8Num33z1"/>
    <w:qFormat/>
    <w:rsid w:val="003c4386"/>
    <w:rPr/>
  </w:style>
  <w:style w:type="character" w:styleId="WW8Num13z2" w:customStyle="1">
    <w:name w:val="WW8Num13z2"/>
    <w:qFormat/>
    <w:rsid w:val="003c4386"/>
    <w:rPr>
      <w:rFonts w:ascii="Wingdings" w:hAnsi="Wingdings"/>
    </w:rPr>
  </w:style>
  <w:style w:type="character" w:styleId="WW8Num37z1" w:customStyle="1">
    <w:name w:val="WW8Num37z1"/>
    <w:qFormat/>
    <w:rsid w:val="003c4386"/>
    <w:rPr>
      <w:rFonts w:ascii="Courier New" w:hAnsi="Courier New"/>
    </w:rPr>
  </w:style>
  <w:style w:type="character" w:styleId="22" w:customStyle="1">
    <w:name w:val="Основной текст 2 Знак"/>
    <w:qFormat/>
    <w:rsid w:val="003c4386"/>
    <w:rPr>
      <w:sz w:val="28"/>
    </w:rPr>
  </w:style>
  <w:style w:type="character" w:styleId="WW8Num31z1" w:customStyle="1">
    <w:name w:val="WW8Num31z1"/>
    <w:qFormat/>
    <w:rsid w:val="003c4386"/>
    <w:rPr>
      <w:rFonts w:ascii="Times New Roman" w:hAnsi="Times New Roman"/>
    </w:rPr>
  </w:style>
  <w:style w:type="character" w:styleId="WW8Num27z2" w:customStyle="1">
    <w:name w:val="WW8Num27z2"/>
    <w:qFormat/>
    <w:rsid w:val="003c4386"/>
    <w:rPr/>
  </w:style>
  <w:style w:type="character" w:styleId="Heading5" w:customStyle="1">
    <w:name w:val="Heading 5"/>
    <w:qFormat/>
    <w:rsid w:val="003c4386"/>
    <w:rPr>
      <w:rFonts w:ascii="XO Thames" w:hAnsi="XO Thames"/>
      <w:b/>
      <w:color w:val="000000"/>
      <w:sz w:val="22"/>
    </w:rPr>
  </w:style>
  <w:style w:type="character" w:styleId="WW8Num4z2" w:customStyle="1">
    <w:name w:val="WW8Num4z2"/>
    <w:qFormat/>
    <w:rsid w:val="003c4386"/>
    <w:rPr>
      <w:rFonts w:ascii="Wingdings" w:hAnsi="Wingdings"/>
    </w:rPr>
  </w:style>
  <w:style w:type="character" w:styleId="WW8Num27z4" w:customStyle="1">
    <w:name w:val="WW8Num27z4"/>
    <w:qFormat/>
    <w:rsid w:val="003c4386"/>
    <w:rPr/>
  </w:style>
  <w:style w:type="character" w:styleId="WW8Num26z1" w:customStyle="1">
    <w:name w:val="WW8Num26z1"/>
    <w:qFormat/>
    <w:rsid w:val="003c4386"/>
    <w:rPr>
      <w:rFonts w:ascii="Courier New" w:hAnsi="Courier New"/>
    </w:rPr>
  </w:style>
  <w:style w:type="character" w:styleId="WW8Num18z0" w:customStyle="1">
    <w:name w:val="WW8Num18z0"/>
    <w:qFormat/>
    <w:rsid w:val="003c4386"/>
    <w:rPr/>
  </w:style>
  <w:style w:type="character" w:styleId="WW8Num13z4" w:customStyle="1">
    <w:name w:val="WW8Num13z4"/>
    <w:qFormat/>
    <w:rsid w:val="003c4386"/>
    <w:rPr>
      <w:rFonts w:ascii="Courier New" w:hAnsi="Courier New"/>
    </w:rPr>
  </w:style>
  <w:style w:type="character" w:styleId="WW8Num9z2" w:customStyle="1">
    <w:name w:val="WW8Num9z2"/>
    <w:qFormat/>
    <w:rsid w:val="003c4386"/>
    <w:rPr/>
  </w:style>
  <w:style w:type="character" w:styleId="WW8Num29z3" w:customStyle="1">
    <w:name w:val="WW8Num29z3"/>
    <w:qFormat/>
    <w:rsid w:val="003c4386"/>
    <w:rPr>
      <w:rFonts w:ascii="Symbol" w:hAnsi="Symbol"/>
    </w:rPr>
  </w:style>
  <w:style w:type="character" w:styleId="WW8Num2z0" w:customStyle="1">
    <w:name w:val="WW8Num2z0"/>
    <w:qFormat/>
    <w:rsid w:val="003c4386"/>
    <w:rPr>
      <w:rFonts w:ascii="Wingdings" w:hAnsi="Wingdings"/>
      <w:color w:val="000000"/>
      <w:sz w:val="28"/>
    </w:rPr>
  </w:style>
  <w:style w:type="character" w:styleId="WW8Num8z0" w:customStyle="1">
    <w:name w:val="WW8Num8z0"/>
    <w:qFormat/>
    <w:rsid w:val="003c4386"/>
    <w:rPr>
      <w:rFonts w:ascii="Times New Roman" w:hAnsi="Times New Roman"/>
    </w:rPr>
  </w:style>
  <w:style w:type="character" w:styleId="Heading1" w:customStyle="1">
    <w:name w:val="Heading 1"/>
    <w:qFormat/>
    <w:rsid w:val="003c4386"/>
    <w:rPr>
      <w:rFonts w:ascii="XO Thames" w:hAnsi="XO Thames"/>
      <w:b/>
      <w:sz w:val="32"/>
    </w:rPr>
  </w:style>
  <w:style w:type="character" w:styleId="WW8Num20z1" w:customStyle="1">
    <w:name w:val="WW8Num20z1"/>
    <w:qFormat/>
    <w:rsid w:val="003c4386"/>
    <w:rPr>
      <w:rFonts w:ascii="Courier New" w:hAnsi="Courier New"/>
    </w:rPr>
  </w:style>
  <w:style w:type="character" w:styleId="WW8Num27z0" w:customStyle="1">
    <w:name w:val="WW8Num27z0"/>
    <w:qFormat/>
    <w:rsid w:val="003c4386"/>
    <w:rPr/>
  </w:style>
  <w:style w:type="character" w:styleId="WW8Num4z0" w:customStyle="1">
    <w:name w:val="WW8Num4z0"/>
    <w:qFormat/>
    <w:rsid w:val="003c4386"/>
    <w:rPr>
      <w:rFonts w:ascii="Symbol" w:hAnsi="Symbol"/>
      <w:sz w:val="16"/>
    </w:rPr>
  </w:style>
  <w:style w:type="character" w:styleId="WW8Num32z0" w:customStyle="1">
    <w:name w:val="WW8Num32z0"/>
    <w:qFormat/>
    <w:rsid w:val="003c4386"/>
    <w:rPr>
      <w:rFonts w:ascii="Wingdings" w:hAnsi="Wingdings"/>
    </w:rPr>
  </w:style>
  <w:style w:type="character" w:styleId="TableParagraph" w:customStyle="1">
    <w:name w:val="Table Paragraph"/>
    <w:qFormat/>
    <w:rsid w:val="003c4386"/>
    <w:rPr>
      <w:sz w:val="22"/>
    </w:rPr>
  </w:style>
  <w:style w:type="character" w:styleId="WW8Num8z2" w:customStyle="1">
    <w:name w:val="WW8Num8z2"/>
    <w:qFormat/>
    <w:rsid w:val="003c4386"/>
    <w:rPr>
      <w:rFonts w:ascii="Wingdings" w:hAnsi="Wingdings"/>
    </w:rPr>
  </w:style>
  <w:style w:type="character" w:styleId="WW8Num6z1" w:customStyle="1">
    <w:name w:val="WW8Num6z1"/>
    <w:qFormat/>
    <w:rsid w:val="003c4386"/>
    <w:rPr>
      <w:rFonts w:ascii="Courier New" w:hAnsi="Courier New"/>
    </w:rPr>
  </w:style>
  <w:style w:type="character" w:styleId="WW8Num35z2" w:customStyle="1">
    <w:name w:val="WW8Num35z2"/>
    <w:qFormat/>
    <w:rsid w:val="003c4386"/>
    <w:rPr>
      <w:rFonts w:ascii="Wingdings" w:hAnsi="Wingdings"/>
    </w:rPr>
  </w:style>
  <w:style w:type="character" w:styleId="WW8Num11z3" w:customStyle="1">
    <w:name w:val="WW8Num11z3"/>
    <w:qFormat/>
    <w:rsid w:val="003c4386"/>
    <w:rPr>
      <w:rFonts w:ascii="Symbol" w:hAnsi="Symbol"/>
    </w:rPr>
  </w:style>
  <w:style w:type="character" w:styleId="WW8Num34z0" w:customStyle="1">
    <w:name w:val="WW8Num34z0"/>
    <w:qFormat/>
    <w:rsid w:val="003c4386"/>
    <w:rPr>
      <w:rFonts w:ascii="Wingdings" w:hAnsi="Wingdings"/>
    </w:rPr>
  </w:style>
  <w:style w:type="character" w:styleId="WW8Num16z0" w:customStyle="1">
    <w:name w:val="WW8Num16z0"/>
    <w:qFormat/>
    <w:rsid w:val="003c4386"/>
    <w:rPr>
      <w:rFonts w:ascii="Times New Roman" w:hAnsi="Times New Roman"/>
    </w:rPr>
  </w:style>
  <w:style w:type="character" w:styleId="Style17" w:customStyle="1">
    <w:name w:val="Интернет-ссылка"/>
    <w:rsid w:val="003c4386"/>
    <w:rPr>
      <w:color w:val="0000FF"/>
      <w:u w:val="single"/>
    </w:rPr>
  </w:style>
  <w:style w:type="character" w:styleId="Footnote" w:customStyle="1">
    <w:name w:val="Footnote"/>
    <w:qFormat/>
    <w:rsid w:val="003c4386"/>
    <w:rPr>
      <w:sz w:val="20"/>
    </w:rPr>
  </w:style>
  <w:style w:type="character" w:styleId="WW8Num29z0" w:customStyle="1">
    <w:name w:val="WW8Num29z0"/>
    <w:qFormat/>
    <w:rsid w:val="003c4386"/>
    <w:rPr>
      <w:rFonts w:ascii="Symbol" w:hAnsi="Symbol"/>
      <w:sz w:val="16"/>
    </w:rPr>
  </w:style>
  <w:style w:type="character" w:styleId="WW8Num14z3" w:customStyle="1">
    <w:name w:val="WW8Num14z3"/>
    <w:qFormat/>
    <w:rsid w:val="003c4386"/>
    <w:rPr>
      <w:rFonts w:ascii="Symbol" w:hAnsi="Symbol"/>
    </w:rPr>
  </w:style>
  <w:style w:type="character" w:styleId="Contents1" w:customStyle="1">
    <w:name w:val="Contents 1"/>
    <w:qFormat/>
    <w:rsid w:val="003c4386"/>
    <w:rPr>
      <w:rFonts w:ascii="XO Thames" w:hAnsi="XO Thames"/>
      <w:b/>
    </w:rPr>
  </w:style>
  <w:style w:type="character" w:styleId="WW8Num29z2" w:customStyle="1">
    <w:name w:val="WW8Num29z2"/>
    <w:qFormat/>
    <w:rsid w:val="003c4386"/>
    <w:rPr>
      <w:rFonts w:ascii="Wingdings" w:hAnsi="Wingdings"/>
    </w:rPr>
  </w:style>
  <w:style w:type="character" w:styleId="23" w:customStyle="1">
    <w:name w:val="Основной текст2"/>
    <w:qFormat/>
    <w:rsid w:val="003c4386"/>
    <w:rPr>
      <w:sz w:val="26"/>
    </w:rPr>
  </w:style>
  <w:style w:type="character" w:styleId="WW8Num18z1" w:customStyle="1">
    <w:name w:val="WW8Num18z1"/>
    <w:qFormat/>
    <w:rsid w:val="003c4386"/>
    <w:rPr/>
  </w:style>
  <w:style w:type="character" w:styleId="Style18" w:customStyle="1">
    <w:name w:val="Символ концевой сноски"/>
    <w:qFormat/>
    <w:rsid w:val="003c4386"/>
    <w:rPr>
      <w:vertAlign w:val="superscript"/>
    </w:rPr>
  </w:style>
  <w:style w:type="character" w:styleId="WW8Num7z2" w:customStyle="1">
    <w:name w:val="WW8Num7z2"/>
    <w:qFormat/>
    <w:rsid w:val="003c4386"/>
    <w:rPr>
      <w:rFonts w:ascii="Wingdings" w:hAnsi="Wingdings"/>
    </w:rPr>
  </w:style>
  <w:style w:type="character" w:styleId="HeaderandFooter" w:customStyle="1">
    <w:name w:val="Header and Footer"/>
    <w:qFormat/>
    <w:rsid w:val="003c4386"/>
    <w:rPr>
      <w:rFonts w:ascii="XO Thames" w:hAnsi="XO Thames"/>
      <w:sz w:val="20"/>
    </w:rPr>
  </w:style>
  <w:style w:type="character" w:styleId="Endnote" w:customStyle="1">
    <w:name w:val="Endnote"/>
    <w:qFormat/>
    <w:rsid w:val="003c4386"/>
    <w:rPr>
      <w:sz w:val="20"/>
    </w:rPr>
  </w:style>
  <w:style w:type="character" w:styleId="Style19" w:customStyle="1">
    <w:name w:val="Колонтитул"/>
    <w:qFormat/>
    <w:rsid w:val="003c4386"/>
    <w:rPr/>
  </w:style>
  <w:style w:type="character" w:styleId="16" w:customStyle="1">
    <w:name w:val="Название объекта1"/>
    <w:qFormat/>
    <w:rsid w:val="003c4386"/>
    <w:rPr>
      <w:i/>
      <w:sz w:val="24"/>
    </w:rPr>
  </w:style>
  <w:style w:type="character" w:styleId="WW8Num33z0" w:customStyle="1">
    <w:name w:val="WW8Num33z0"/>
    <w:qFormat/>
    <w:rsid w:val="003c4386"/>
    <w:rPr/>
  </w:style>
  <w:style w:type="character" w:styleId="WW8Num7z0" w:customStyle="1">
    <w:name w:val="WW8Num7z0"/>
    <w:qFormat/>
    <w:rsid w:val="003c4386"/>
    <w:rPr>
      <w:rFonts w:ascii="Times New Roman" w:hAnsi="Times New Roman"/>
    </w:rPr>
  </w:style>
  <w:style w:type="character" w:styleId="WW8Num9z6" w:customStyle="1">
    <w:name w:val="WW8Num9z6"/>
    <w:qFormat/>
    <w:rsid w:val="003c4386"/>
    <w:rPr/>
  </w:style>
  <w:style w:type="character" w:styleId="Header" w:customStyle="1">
    <w:name w:val="Header"/>
    <w:qFormat/>
    <w:rsid w:val="003c4386"/>
    <w:rPr/>
  </w:style>
  <w:style w:type="character" w:styleId="Contents9" w:customStyle="1">
    <w:name w:val="Contents 9"/>
    <w:qFormat/>
    <w:rsid w:val="003c4386"/>
    <w:rPr/>
  </w:style>
  <w:style w:type="character" w:styleId="WW8Num18z7" w:customStyle="1">
    <w:name w:val="WW8Num18z7"/>
    <w:qFormat/>
    <w:rsid w:val="003c4386"/>
    <w:rPr/>
  </w:style>
  <w:style w:type="character" w:styleId="WW8Num10z1" w:customStyle="1">
    <w:name w:val="WW8Num10z1"/>
    <w:qFormat/>
    <w:rsid w:val="003c4386"/>
    <w:rPr>
      <w:rFonts w:ascii="Courier New" w:hAnsi="Courier New"/>
    </w:rPr>
  </w:style>
  <w:style w:type="character" w:styleId="WW8Num14z1" w:customStyle="1">
    <w:name w:val="WW8Num14z1"/>
    <w:qFormat/>
    <w:rsid w:val="003c4386"/>
    <w:rPr>
      <w:rFonts w:ascii="Courier New" w:hAnsi="Courier New"/>
    </w:rPr>
  </w:style>
  <w:style w:type="character" w:styleId="Style20" w:customStyle="1">
    <w:name w:val="Текст концевой сноски Знак"/>
    <w:basedOn w:val="DefaultParagraphFont"/>
    <w:qFormat/>
    <w:rsid w:val="003c4386"/>
    <w:rPr/>
  </w:style>
  <w:style w:type="character" w:styleId="Strong">
    <w:name w:val="Strong"/>
    <w:qFormat/>
    <w:rsid w:val="003c4386"/>
    <w:rPr>
      <w:b/>
    </w:rPr>
  </w:style>
  <w:style w:type="character" w:styleId="WW8Num22z0" w:customStyle="1">
    <w:name w:val="WW8Num22z0"/>
    <w:qFormat/>
    <w:rsid w:val="003c4386"/>
    <w:rPr>
      <w:rFonts w:ascii="Wingdings" w:hAnsi="Wingdings"/>
      <w:color w:val="000000"/>
      <w:sz w:val="28"/>
    </w:rPr>
  </w:style>
  <w:style w:type="character" w:styleId="WW8Num36z2" w:customStyle="1">
    <w:name w:val="WW8Num36z2"/>
    <w:qFormat/>
    <w:rsid w:val="003c4386"/>
    <w:rPr>
      <w:rFonts w:ascii="Wingdings" w:hAnsi="Wingdings"/>
    </w:rPr>
  </w:style>
  <w:style w:type="character" w:styleId="WW8Num11z1" w:customStyle="1">
    <w:name w:val="WW8Num11z1"/>
    <w:qFormat/>
    <w:rsid w:val="003c4386"/>
    <w:rPr>
      <w:rFonts w:ascii="Courier New" w:hAnsi="Courier New"/>
    </w:rPr>
  </w:style>
  <w:style w:type="character" w:styleId="WW8Num5z0" w:customStyle="1">
    <w:name w:val="WW8Num5z0"/>
    <w:qFormat/>
    <w:rsid w:val="003c4386"/>
    <w:rPr>
      <w:rFonts w:ascii="Times New Roman" w:hAnsi="Times New Roman"/>
    </w:rPr>
  </w:style>
  <w:style w:type="character" w:styleId="Contents8" w:customStyle="1">
    <w:name w:val="Contents 8"/>
    <w:qFormat/>
    <w:rsid w:val="003c4386"/>
    <w:rPr/>
  </w:style>
  <w:style w:type="character" w:styleId="WW8Num37z2" w:customStyle="1">
    <w:name w:val="WW8Num37z2"/>
    <w:qFormat/>
    <w:rsid w:val="003c4386"/>
    <w:rPr>
      <w:rFonts w:ascii="Wingdings" w:hAnsi="Wingdings"/>
    </w:rPr>
  </w:style>
  <w:style w:type="character" w:styleId="WW8Num13z3" w:customStyle="1">
    <w:name w:val="WW8Num13z3"/>
    <w:qFormat/>
    <w:rsid w:val="003c4386"/>
    <w:rPr>
      <w:rFonts w:ascii="Symbol" w:hAnsi="Symbol"/>
    </w:rPr>
  </w:style>
  <w:style w:type="character" w:styleId="WW8Num14z0" w:customStyle="1">
    <w:name w:val="WW8Num14z0"/>
    <w:qFormat/>
    <w:rsid w:val="003c4386"/>
    <w:rPr>
      <w:rFonts w:ascii="Wingdings" w:hAnsi="Wingdings"/>
    </w:rPr>
  </w:style>
  <w:style w:type="character" w:styleId="WW8Num18z8" w:customStyle="1">
    <w:name w:val="WW8Num18z8"/>
    <w:qFormat/>
    <w:rsid w:val="003c4386"/>
    <w:rPr/>
  </w:style>
  <w:style w:type="character" w:styleId="WW8Num8z3" w:customStyle="1">
    <w:name w:val="WW8Num8z3"/>
    <w:qFormat/>
    <w:rsid w:val="003c4386"/>
    <w:rPr>
      <w:rFonts w:ascii="Symbol" w:hAnsi="Symbol"/>
    </w:rPr>
  </w:style>
  <w:style w:type="character" w:styleId="WW8Num8z1" w:customStyle="1">
    <w:name w:val="WW8Num8z1"/>
    <w:qFormat/>
    <w:rsid w:val="003c4386"/>
    <w:rPr>
      <w:rFonts w:ascii="Courier New" w:hAnsi="Courier New"/>
    </w:rPr>
  </w:style>
  <w:style w:type="character" w:styleId="WW8Num21z1" w:customStyle="1">
    <w:name w:val="WW8Num21z1"/>
    <w:qFormat/>
    <w:rsid w:val="003c4386"/>
    <w:rPr>
      <w:rFonts w:ascii="Courier New" w:hAnsi="Courier New"/>
    </w:rPr>
  </w:style>
  <w:style w:type="character" w:styleId="WW8Num22z1" w:customStyle="1">
    <w:name w:val="WW8Num22z1"/>
    <w:qFormat/>
    <w:rsid w:val="003c4386"/>
    <w:rPr>
      <w:rFonts w:ascii="Courier New" w:hAnsi="Courier New"/>
    </w:rPr>
  </w:style>
  <w:style w:type="character" w:styleId="WW8Num4z1" w:customStyle="1">
    <w:name w:val="WW8Num4z1"/>
    <w:qFormat/>
    <w:rsid w:val="003c4386"/>
    <w:rPr>
      <w:rFonts w:ascii="Courier New" w:hAnsi="Courier New"/>
    </w:rPr>
  </w:style>
  <w:style w:type="character" w:styleId="Textbody" w:customStyle="1">
    <w:name w:val="Text body"/>
    <w:qFormat/>
    <w:rsid w:val="003c4386"/>
    <w:rPr/>
  </w:style>
  <w:style w:type="character" w:styleId="WW8Num28z2" w:customStyle="1">
    <w:name w:val="WW8Num28z2"/>
    <w:qFormat/>
    <w:rsid w:val="003c4386"/>
    <w:rPr>
      <w:rFonts w:ascii="Wingdings" w:hAnsi="Wingdings"/>
    </w:rPr>
  </w:style>
  <w:style w:type="character" w:styleId="WW8Num20z3" w:customStyle="1">
    <w:name w:val="WW8Num20z3"/>
    <w:qFormat/>
    <w:rsid w:val="003c4386"/>
    <w:rPr>
      <w:rFonts w:ascii="Symbol" w:hAnsi="Symbol"/>
    </w:rPr>
  </w:style>
  <w:style w:type="character" w:styleId="Contents5" w:customStyle="1">
    <w:name w:val="Contents 5"/>
    <w:qFormat/>
    <w:rsid w:val="003c4386"/>
    <w:rPr/>
  </w:style>
  <w:style w:type="character" w:styleId="WW8Num31z0" w:customStyle="1">
    <w:name w:val="WW8Num31z0"/>
    <w:qFormat/>
    <w:rsid w:val="003c4386"/>
    <w:rPr>
      <w:rFonts w:ascii="Wingdings" w:hAnsi="Wingdings"/>
    </w:rPr>
  </w:style>
  <w:style w:type="character" w:styleId="Style21" w:customStyle="1">
    <w:name w:val="Символ сноски"/>
    <w:qFormat/>
    <w:rsid w:val="003c4386"/>
    <w:rPr>
      <w:vertAlign w:val="superscript"/>
    </w:rPr>
  </w:style>
  <w:style w:type="character" w:styleId="WW8Num15z3" w:customStyle="1">
    <w:name w:val="WW8Num15z3"/>
    <w:qFormat/>
    <w:rsid w:val="003c4386"/>
    <w:rPr>
      <w:rFonts w:ascii="Symbol" w:hAnsi="Symbol"/>
    </w:rPr>
  </w:style>
  <w:style w:type="character" w:styleId="WW8Num27z7" w:customStyle="1">
    <w:name w:val="WW8Num27z7"/>
    <w:qFormat/>
    <w:rsid w:val="003c4386"/>
    <w:rPr/>
  </w:style>
  <w:style w:type="character" w:styleId="WW8Num27z5" w:customStyle="1">
    <w:name w:val="WW8Num27z5"/>
    <w:qFormat/>
    <w:rsid w:val="003c4386"/>
    <w:rPr/>
  </w:style>
  <w:style w:type="character" w:styleId="Style22" w:customStyle="1">
    <w:name w:val="Без интервала Знак"/>
    <w:qFormat/>
    <w:rsid w:val="003c4386"/>
    <w:rPr>
      <w:sz w:val="24"/>
    </w:rPr>
  </w:style>
  <w:style w:type="character" w:styleId="Style23" w:customStyle="1">
    <w:name w:val="Текст выноски Знак"/>
    <w:qFormat/>
    <w:rsid w:val="003c4386"/>
    <w:rPr>
      <w:rFonts w:ascii="Tahoma" w:hAnsi="Tahoma"/>
      <w:sz w:val="16"/>
    </w:rPr>
  </w:style>
  <w:style w:type="character" w:styleId="WW8Num15z0" w:customStyle="1">
    <w:name w:val="WW8Num15z0"/>
    <w:qFormat/>
    <w:rsid w:val="003c4386"/>
    <w:rPr>
      <w:rFonts w:ascii="Times New Roman" w:hAnsi="Times New Roman"/>
    </w:rPr>
  </w:style>
  <w:style w:type="character" w:styleId="WW8Num30z1" w:customStyle="1">
    <w:name w:val="WW8Num30z1"/>
    <w:qFormat/>
    <w:rsid w:val="003c4386"/>
    <w:rPr>
      <w:rFonts w:ascii="Courier New" w:hAnsi="Courier New"/>
    </w:rPr>
  </w:style>
  <w:style w:type="character" w:styleId="17" w:customStyle="1">
    <w:name w:val="Указатель1"/>
    <w:qFormat/>
    <w:rsid w:val="003c4386"/>
    <w:rPr/>
  </w:style>
  <w:style w:type="character" w:styleId="WW8Num3z4" w:customStyle="1">
    <w:name w:val="WW8Num3z4"/>
    <w:qFormat/>
    <w:rsid w:val="003c4386"/>
    <w:rPr/>
  </w:style>
  <w:style w:type="character" w:styleId="WW8Num27z1" w:customStyle="1">
    <w:name w:val="WW8Num27z1"/>
    <w:qFormat/>
    <w:rsid w:val="003c4386"/>
    <w:rPr/>
  </w:style>
  <w:style w:type="character" w:styleId="11pt" w:customStyle="1">
    <w:name w:val="Основной текст + 11 pt"/>
    <w:qFormat/>
    <w:rsid w:val="003c4386"/>
    <w:rPr>
      <w:rFonts w:ascii="Times New Roman" w:hAnsi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2"/>
      <w:u w:val="none"/>
    </w:rPr>
  </w:style>
  <w:style w:type="character" w:styleId="WW8Num3z8" w:customStyle="1">
    <w:name w:val="WW8Num3z8"/>
    <w:qFormat/>
    <w:rsid w:val="003c4386"/>
    <w:rPr/>
  </w:style>
  <w:style w:type="character" w:styleId="WW8Num25z0" w:customStyle="1">
    <w:name w:val="WW8Num25z0"/>
    <w:qFormat/>
    <w:rsid w:val="003c4386"/>
    <w:rPr>
      <w:rFonts w:ascii="Times New Roman" w:hAnsi="Times New Roman"/>
    </w:rPr>
  </w:style>
  <w:style w:type="character" w:styleId="WW8Num33z6" w:customStyle="1">
    <w:name w:val="WW8Num33z6"/>
    <w:qFormat/>
    <w:rsid w:val="003c4386"/>
    <w:rPr/>
  </w:style>
  <w:style w:type="character" w:styleId="18" w:customStyle="1">
    <w:name w:val="Подзаголовок1"/>
    <w:qFormat/>
    <w:rsid w:val="003c4386"/>
    <w:rPr>
      <w:rFonts w:ascii="XO Thames" w:hAnsi="XO Thames"/>
      <w:i/>
      <w:color w:val="616161"/>
      <w:sz w:val="24"/>
    </w:rPr>
  </w:style>
  <w:style w:type="character" w:styleId="WW8Num13z1" w:customStyle="1">
    <w:name w:val="WW8Num13z1"/>
    <w:qFormat/>
    <w:rsid w:val="003c4386"/>
    <w:rPr>
      <w:rFonts w:ascii="Times New Roman" w:hAnsi="Times New Roman"/>
    </w:rPr>
  </w:style>
  <w:style w:type="character" w:styleId="WW8Num10z0" w:customStyle="1">
    <w:name w:val="WW8Num10z0"/>
    <w:qFormat/>
    <w:rsid w:val="003c4386"/>
    <w:rPr>
      <w:rFonts w:ascii="Wingdings" w:hAnsi="Wingdings"/>
    </w:rPr>
  </w:style>
  <w:style w:type="character" w:styleId="Style24" w:customStyle="1">
    <w:name w:val="Текст сноски Знак"/>
    <w:basedOn w:val="DefaultParagraphFont"/>
    <w:qFormat/>
    <w:rsid w:val="003c4386"/>
    <w:rPr/>
  </w:style>
  <w:style w:type="character" w:styleId="WW8Num9z8" w:customStyle="1">
    <w:name w:val="WW8Num9z8"/>
    <w:qFormat/>
    <w:rsid w:val="003c4386"/>
    <w:rPr/>
  </w:style>
  <w:style w:type="character" w:styleId="WW8Num27z3" w:customStyle="1">
    <w:name w:val="WW8Num27z3"/>
    <w:qFormat/>
    <w:rsid w:val="003c4386"/>
    <w:rPr/>
  </w:style>
  <w:style w:type="character" w:styleId="WW8Num11z0" w:customStyle="1">
    <w:name w:val="WW8Num11z0"/>
    <w:qFormat/>
    <w:rsid w:val="003c4386"/>
    <w:rPr>
      <w:rFonts w:ascii="Wingdings" w:hAnsi="Wingdings"/>
    </w:rPr>
  </w:style>
  <w:style w:type="character" w:styleId="WW8Num9z7" w:customStyle="1">
    <w:name w:val="WW8Num9z7"/>
    <w:qFormat/>
    <w:rsid w:val="003c4386"/>
    <w:rPr/>
  </w:style>
  <w:style w:type="character" w:styleId="WW8Num3z0" w:customStyle="1">
    <w:name w:val="WW8Num3z0"/>
    <w:qFormat/>
    <w:rsid w:val="003c4386"/>
    <w:rPr/>
  </w:style>
  <w:style w:type="character" w:styleId="WW8Num1z3" w:customStyle="1">
    <w:name w:val="WW8Num1z3"/>
    <w:qFormat/>
    <w:rsid w:val="003c4386"/>
    <w:rPr>
      <w:rFonts w:ascii="Symbol" w:hAnsi="Symbol"/>
    </w:rPr>
  </w:style>
  <w:style w:type="character" w:styleId="WW8Num18z5" w:customStyle="1">
    <w:name w:val="WW8Num18z5"/>
    <w:qFormat/>
    <w:rsid w:val="003c4386"/>
    <w:rPr/>
  </w:style>
  <w:style w:type="character" w:styleId="Style25" w:customStyle="1">
    <w:name w:val="Привязка концевой сноски"/>
    <w:rsid w:val="003c4386"/>
    <w:rPr>
      <w:vertAlign w:val="superscript"/>
    </w:rPr>
  </w:style>
  <w:style w:type="character" w:styleId="EndnoteCharacters" w:customStyle="1">
    <w:name w:val="Endnote Characters"/>
    <w:qFormat/>
    <w:rsid w:val="003c4386"/>
    <w:rPr>
      <w:vertAlign w:val="superscript"/>
    </w:rPr>
  </w:style>
  <w:style w:type="character" w:styleId="Toc10" w:customStyle="1">
    <w:name w:val="toc 10"/>
    <w:qFormat/>
    <w:rsid w:val="003c4386"/>
    <w:rPr/>
  </w:style>
  <w:style w:type="character" w:styleId="WW8Num3z2" w:customStyle="1">
    <w:name w:val="WW8Num3z2"/>
    <w:qFormat/>
    <w:rsid w:val="003c4386"/>
    <w:rPr/>
  </w:style>
  <w:style w:type="character" w:styleId="WW8Num37z0" w:customStyle="1">
    <w:name w:val="WW8Num37z0"/>
    <w:qFormat/>
    <w:rsid w:val="003c4386"/>
    <w:rPr>
      <w:rFonts w:ascii="Symbol" w:hAnsi="Symbol"/>
    </w:rPr>
  </w:style>
  <w:style w:type="character" w:styleId="19" w:customStyle="1">
    <w:name w:val="Название1"/>
    <w:qFormat/>
    <w:rsid w:val="003c4386"/>
    <w:rPr>
      <w:rFonts w:ascii="XO Thames" w:hAnsi="XO Thames"/>
      <w:b/>
      <w:sz w:val="52"/>
    </w:rPr>
  </w:style>
  <w:style w:type="character" w:styleId="110" w:customStyle="1">
    <w:name w:val="Обычный (веб)1"/>
    <w:qFormat/>
    <w:rsid w:val="003c4386"/>
    <w:rPr>
      <w:sz w:val="32"/>
    </w:rPr>
  </w:style>
  <w:style w:type="character" w:styleId="Heading4" w:customStyle="1">
    <w:name w:val="Heading 4"/>
    <w:qFormat/>
    <w:rsid w:val="003c4386"/>
    <w:rPr>
      <w:rFonts w:ascii="XO Thames" w:hAnsi="XO Thames"/>
      <w:b/>
      <w:color w:val="595959"/>
      <w:sz w:val="26"/>
    </w:rPr>
  </w:style>
  <w:style w:type="character" w:styleId="WW8Num19z1" w:customStyle="1">
    <w:name w:val="WW8Num19z1"/>
    <w:qFormat/>
    <w:rsid w:val="003c4386"/>
    <w:rPr>
      <w:rFonts w:ascii="Courier New" w:hAnsi="Courier New"/>
    </w:rPr>
  </w:style>
  <w:style w:type="character" w:styleId="WW8Num25z1" w:customStyle="1">
    <w:name w:val="WW8Num25z1"/>
    <w:qFormat/>
    <w:rsid w:val="003c4386"/>
    <w:rPr>
      <w:rFonts w:ascii="Courier New" w:hAnsi="Courier New"/>
    </w:rPr>
  </w:style>
  <w:style w:type="character" w:styleId="WW8Num2z1" w:customStyle="1">
    <w:name w:val="WW8Num2z1"/>
    <w:qFormat/>
    <w:rsid w:val="003c4386"/>
    <w:rPr>
      <w:rFonts w:ascii="Courier New" w:hAnsi="Courier New"/>
    </w:rPr>
  </w:style>
  <w:style w:type="character" w:styleId="Linenumber">
    <w:name w:val="line number"/>
    <w:qFormat/>
    <w:rsid w:val="003c4386"/>
    <w:rPr/>
  </w:style>
  <w:style w:type="character" w:styleId="WW8Num3z6" w:customStyle="1">
    <w:name w:val="WW8Num3z6"/>
    <w:qFormat/>
    <w:rsid w:val="003c4386"/>
    <w:rPr/>
  </w:style>
  <w:style w:type="character" w:styleId="WW8Num19z0" w:customStyle="1">
    <w:name w:val="WW8Num19z0"/>
    <w:qFormat/>
    <w:rsid w:val="003c4386"/>
    <w:rPr>
      <w:rFonts w:ascii="Symbol" w:hAnsi="Symbol"/>
      <w:sz w:val="16"/>
    </w:rPr>
  </w:style>
  <w:style w:type="character" w:styleId="WW8Num4z3" w:customStyle="1">
    <w:name w:val="WW8Num4z3"/>
    <w:qFormat/>
    <w:rsid w:val="003c4386"/>
    <w:rPr>
      <w:rFonts w:ascii="Symbol" w:hAnsi="Symbol"/>
    </w:rPr>
  </w:style>
  <w:style w:type="character" w:styleId="WW8Num36z1" w:customStyle="1">
    <w:name w:val="WW8Num36z1"/>
    <w:qFormat/>
    <w:rsid w:val="003c4386"/>
    <w:rPr>
      <w:rFonts w:ascii="Courier New" w:hAnsi="Courier New"/>
    </w:rPr>
  </w:style>
  <w:style w:type="character" w:styleId="Heading2" w:customStyle="1">
    <w:name w:val="Heading 2"/>
    <w:qFormat/>
    <w:rsid w:val="003c4386"/>
    <w:rPr>
      <w:rFonts w:ascii="XO Thames" w:hAnsi="XO Thames"/>
      <w:b/>
      <w:color w:val="00A0FF"/>
      <w:sz w:val="26"/>
    </w:rPr>
  </w:style>
  <w:style w:type="character" w:styleId="WW8Num33z8" w:customStyle="1">
    <w:name w:val="WW8Num33z8"/>
    <w:qFormat/>
    <w:rsid w:val="003c4386"/>
    <w:rPr/>
  </w:style>
  <w:style w:type="character" w:styleId="WW8Num7z3" w:customStyle="1">
    <w:name w:val="WW8Num7z3"/>
    <w:qFormat/>
    <w:rsid w:val="003c4386"/>
    <w:rPr>
      <w:rFonts w:ascii="Symbol" w:hAnsi="Symbol"/>
    </w:rPr>
  </w:style>
  <w:style w:type="character" w:styleId="WW8Num33z2" w:customStyle="1">
    <w:name w:val="WW8Num33z2"/>
    <w:qFormat/>
    <w:rsid w:val="003c4386"/>
    <w:rPr/>
  </w:style>
  <w:style w:type="character" w:styleId="WW8Num13z0" w:customStyle="1">
    <w:name w:val="WW8Num13z0"/>
    <w:qFormat/>
    <w:rsid w:val="003c4386"/>
    <w:rPr>
      <w:rFonts w:ascii="Symbol" w:hAnsi="Symbol"/>
      <w:sz w:val="16"/>
    </w:rPr>
  </w:style>
  <w:style w:type="character" w:styleId="WW8Num9z5" w:customStyle="1">
    <w:name w:val="WW8Num9z5"/>
    <w:qFormat/>
    <w:rsid w:val="003c4386"/>
    <w:rPr/>
  </w:style>
  <w:style w:type="character" w:styleId="WW8Num18z4" w:customStyle="1">
    <w:name w:val="WW8Num18z4"/>
    <w:qFormat/>
    <w:rsid w:val="003c4386"/>
    <w:rPr/>
  </w:style>
  <w:style w:type="character" w:styleId="WW8Num32z3" w:customStyle="1">
    <w:name w:val="WW8Num32z3"/>
    <w:qFormat/>
    <w:rsid w:val="003c4386"/>
    <w:rPr>
      <w:rFonts w:ascii="Symbol" w:hAnsi="Symbol"/>
    </w:rPr>
  </w:style>
  <w:style w:type="character" w:styleId="Style26" w:customStyle="1">
    <w:name w:val="Нумерация строк"/>
    <w:rsid w:val="003c4386"/>
    <w:rPr/>
  </w:style>
  <w:style w:type="character" w:styleId="Style27" w:customStyle="1">
    <w:name w:val="Маркеры"/>
    <w:qFormat/>
    <w:rsid w:val="003c4386"/>
    <w:rPr>
      <w:rFonts w:ascii="OpenSymbol" w:hAnsi="OpenSymbol" w:eastAsia="OpenSymbol" w:cs="OpenSymbol"/>
    </w:rPr>
  </w:style>
  <w:style w:type="character" w:styleId="111" w:customStyle="1">
    <w:name w:val="Верхний колонтитул Знак1"/>
    <w:basedOn w:val="DefaultParagraphFont"/>
    <w:link w:val="afff0"/>
    <w:uiPriority w:val="99"/>
    <w:semiHidden/>
    <w:qFormat/>
    <w:rsid w:val="00137a3b"/>
    <w:rPr>
      <w:rFonts w:cs="Mangal"/>
      <w:sz w:val="24"/>
    </w:rPr>
  </w:style>
  <w:style w:type="character" w:styleId="112" w:customStyle="1">
    <w:name w:val="Нижний колонтитул Знак1"/>
    <w:basedOn w:val="DefaultParagraphFont"/>
    <w:link w:val="afff1"/>
    <w:uiPriority w:val="99"/>
    <w:semiHidden/>
    <w:qFormat/>
    <w:rsid w:val="00137a3b"/>
    <w:rPr>
      <w:rFonts w:cs="Mangal"/>
      <w:sz w:val="24"/>
    </w:rPr>
  </w:style>
  <w:style w:type="paragraph" w:styleId="Style28" w:customStyle="1">
    <w:name w:val="Заголовок"/>
    <w:basedOn w:val="Normal"/>
    <w:next w:val="Style29"/>
    <w:qFormat/>
    <w:rsid w:val="003c4386"/>
    <w:pPr>
      <w:keepNext w:val="true"/>
      <w:spacing w:before="240" w:after="120"/>
    </w:pPr>
    <w:rPr>
      <w:rFonts w:ascii="Liberation Sans" w:hAnsi="Liberation Sans"/>
      <w:sz w:val="28"/>
    </w:rPr>
  </w:style>
  <w:style w:type="paragraph" w:styleId="Style29">
    <w:name w:val="Body Text"/>
    <w:basedOn w:val="Normal"/>
    <w:rsid w:val="003c4386"/>
    <w:pPr>
      <w:spacing w:before="0" w:after="120"/>
    </w:pPr>
    <w:rPr/>
  </w:style>
  <w:style w:type="paragraph" w:styleId="Style30">
    <w:name w:val="List"/>
    <w:basedOn w:val="Style29"/>
    <w:rsid w:val="003c4386"/>
    <w:pPr/>
    <w:rPr/>
  </w:style>
  <w:style w:type="paragraph" w:styleId="Style31" w:customStyle="1">
    <w:name w:val="Caption"/>
    <w:basedOn w:val="Normal"/>
    <w:qFormat/>
    <w:rsid w:val="003c4386"/>
    <w:pPr>
      <w:suppressLineNumbers/>
      <w:spacing w:before="120" w:after="120"/>
    </w:pPr>
    <w:rPr>
      <w:i/>
      <w:iCs/>
      <w:szCs w:val="24"/>
    </w:rPr>
  </w:style>
  <w:style w:type="paragraph" w:styleId="Style32">
    <w:name w:val="Указатель"/>
    <w:basedOn w:val="Normal"/>
    <w:qFormat/>
    <w:pPr>
      <w:suppressLineNumbers/>
    </w:pPr>
    <w:rPr>
      <w:rFonts w:cs="Droid Sans Devanagari"/>
    </w:rPr>
  </w:style>
  <w:style w:type="paragraph" w:styleId="Indexheading">
    <w:name w:val="index heading"/>
    <w:basedOn w:val="Normal"/>
    <w:qFormat/>
    <w:rsid w:val="003c4386"/>
    <w:pPr/>
    <w:rPr/>
  </w:style>
  <w:style w:type="paragraph" w:styleId="WW8Num33z41" w:customStyle="1">
    <w:name w:val="WW8Num33z4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5z31" w:customStyle="1">
    <w:name w:val="WW8Num5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5z01" w:customStyle="1">
    <w:name w:val="WW8Num35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8"/>
      <w:szCs w:val="20"/>
      <w:lang w:val="ru-RU" w:eastAsia="zh-CN" w:bidi="hi-IN"/>
    </w:rPr>
  </w:style>
  <w:style w:type="paragraph" w:styleId="WW8Num5z21" w:customStyle="1">
    <w:name w:val="WW8Num5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4" w:customStyle="1">
    <w:name w:val="TOC 2"/>
    <w:next w:val="Normal"/>
    <w:rsid w:val="003c4386"/>
    <w:pPr>
      <w:widowControl/>
      <w:suppressAutoHyphens w:val="true"/>
      <w:bidi w:val="0"/>
      <w:spacing w:before="0" w:after="0"/>
      <w:ind w:left="2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5z21" w:customStyle="1">
    <w:name w:val="WW8Num25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6z31" w:customStyle="1">
    <w:name w:val="WW8Num36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2z11" w:customStyle="1">
    <w:name w:val="WW8Num32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3z31" w:customStyle="1">
    <w:name w:val="WW8Num33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41" w:customStyle="1">
    <w:name w:val="TOC 4"/>
    <w:next w:val="Normal"/>
    <w:rsid w:val="003c4386"/>
    <w:pPr>
      <w:widowControl/>
      <w:suppressAutoHyphens w:val="true"/>
      <w:bidi w:val="0"/>
      <w:spacing w:before="0" w:after="0"/>
      <w:ind w:left="6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6" w:customStyle="1">
    <w:name w:val="TOC 6"/>
    <w:next w:val="Normal"/>
    <w:rsid w:val="003c4386"/>
    <w:pPr>
      <w:widowControl/>
      <w:suppressAutoHyphens w:val="true"/>
      <w:bidi w:val="0"/>
      <w:spacing w:before="0" w:after="0"/>
      <w:ind w:left="10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7" w:customStyle="1">
    <w:name w:val="TOC 7"/>
    <w:next w:val="Normal"/>
    <w:rsid w:val="003c4386"/>
    <w:pPr>
      <w:widowControl/>
      <w:suppressAutoHyphens w:val="true"/>
      <w:bidi w:val="0"/>
      <w:spacing w:before="0" w:after="0"/>
      <w:ind w:left="12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9z11" w:customStyle="1">
    <w:name w:val="WW8Num9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3z71" w:customStyle="1">
    <w:name w:val="WW8Num33z7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0z01" w:customStyle="1">
    <w:name w:val="WW8Num30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16"/>
      <w:szCs w:val="20"/>
      <w:lang w:val="ru-RU" w:eastAsia="zh-CN" w:bidi="hi-IN"/>
    </w:rPr>
  </w:style>
  <w:style w:type="paragraph" w:styleId="BalloonText">
    <w:name w:val="Balloon Text"/>
    <w:basedOn w:val="Normal"/>
    <w:qFormat/>
    <w:rsid w:val="003c4386"/>
    <w:pPr/>
    <w:rPr>
      <w:rFonts w:ascii="Tahoma" w:hAnsi="Tahoma"/>
      <w:sz w:val="16"/>
    </w:rPr>
  </w:style>
  <w:style w:type="paragraph" w:styleId="WW8Num9z41" w:customStyle="1">
    <w:name w:val="WW8Num9z4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2z21" w:customStyle="1">
    <w:name w:val="WW8Num12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z31" w:customStyle="1">
    <w:name w:val="WW8Num2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3z31" w:customStyle="1">
    <w:name w:val="WW8Num23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6z31" w:customStyle="1">
    <w:name w:val="WW8Num16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33" w:customStyle="1">
    <w:name w:val="Основной текст Знак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WW8Num25z31" w:customStyle="1">
    <w:name w:val="WW8Num25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7z21" w:customStyle="1">
    <w:name w:val="WW8Num17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3z51" w:customStyle="1">
    <w:name w:val="WW8Num33z5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0z01" w:customStyle="1">
    <w:name w:val="WW8Num20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5z11" w:customStyle="1">
    <w:name w:val="WW8Num15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6z01" w:customStyle="1">
    <w:name w:val="WW8Num6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NoSpacing">
    <w:name w:val="No Spacing"/>
    <w:qFormat/>
    <w:rsid w:val="003c4386"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95pt1" w:customStyle="1">
    <w:name w:val="Основной текст + 9;5 pt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19"/>
      <w:szCs w:val="20"/>
      <w:shd w:fill="FFFFFF" w:val="clear"/>
      <w:lang w:val="ru-RU" w:eastAsia="zh-CN" w:bidi="hi-IN"/>
    </w:rPr>
  </w:style>
  <w:style w:type="paragraph" w:styleId="BodyText2">
    <w:name w:val="Body Text 2"/>
    <w:basedOn w:val="Normal"/>
    <w:qFormat/>
    <w:rsid w:val="003c4386"/>
    <w:pPr>
      <w:jc w:val="center"/>
    </w:pPr>
    <w:rPr>
      <w:sz w:val="28"/>
    </w:rPr>
  </w:style>
  <w:style w:type="paragraph" w:styleId="WW8Num3z71" w:customStyle="1">
    <w:name w:val="WW8Num3z7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Font111" w:customStyle="1">
    <w:name w:val="font11"/>
    <w:basedOn w:val="Normal"/>
    <w:qFormat/>
    <w:rsid w:val="003c4386"/>
    <w:pPr>
      <w:spacing w:before="280" w:after="280"/>
    </w:pPr>
    <w:rPr/>
  </w:style>
  <w:style w:type="paragraph" w:styleId="WW8Num10z31" w:customStyle="1">
    <w:name w:val="WW8Num10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34" w:customStyle="1">
    <w:name w:val="Нижний колонтитул Знак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WW8Num3z31" w:customStyle="1">
    <w:name w:val="WW8Num3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1z41" w:customStyle="1">
    <w:name w:val="WW8Num31z4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8z11" w:customStyle="1">
    <w:name w:val="WW8Num28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7z01" w:customStyle="1">
    <w:name w:val="WW8Num17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z11" w:customStyle="1">
    <w:name w:val="WW8Num3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35" w:customStyle="1">
    <w:name w:val="Содержимое таблицы"/>
    <w:basedOn w:val="Normal"/>
    <w:qFormat/>
    <w:rsid w:val="003c4386"/>
    <w:pPr>
      <w:widowControl w:val="false"/>
    </w:pPr>
    <w:rPr/>
  </w:style>
  <w:style w:type="paragraph" w:styleId="Style36" w:customStyle="1">
    <w:name w:val="Заголовок таблицы"/>
    <w:basedOn w:val="Style35"/>
    <w:qFormat/>
    <w:rsid w:val="003c4386"/>
    <w:pPr>
      <w:jc w:val="center"/>
    </w:pPr>
    <w:rPr>
      <w:b/>
    </w:rPr>
  </w:style>
  <w:style w:type="paragraph" w:styleId="WW8Num34z31" w:customStyle="1">
    <w:name w:val="WW8Num34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9z31" w:customStyle="1">
    <w:name w:val="WW8Num19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5z11" w:customStyle="1">
    <w:name w:val="WW8Num35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6z01" w:customStyle="1">
    <w:name w:val="WW8Num26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37" w:customStyle="1">
    <w:name w:val="Колонтитул"/>
    <w:basedOn w:val="Normal"/>
    <w:qFormat/>
    <w:rsid w:val="003c4386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38">
    <w:name w:val="Footer"/>
    <w:basedOn w:val="Normal"/>
    <w:link w:val="1f"/>
    <w:uiPriority w:val="99"/>
    <w:semiHidden/>
    <w:unhideWhenUsed/>
    <w:rsid w:val="00137a3b"/>
    <w:pPr>
      <w:tabs>
        <w:tab w:val="clear" w:pos="708"/>
        <w:tab w:val="center" w:pos="4677" w:leader="none"/>
        <w:tab w:val="right" w:pos="9355" w:leader="none"/>
      </w:tabs>
    </w:pPr>
    <w:rPr>
      <w:rFonts w:cs="Mangal"/>
    </w:rPr>
  </w:style>
  <w:style w:type="paragraph" w:styleId="WW8Num18z21" w:customStyle="1">
    <w:name w:val="WW8Num18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1z31" w:customStyle="1">
    <w:name w:val="WW8Num31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9z01" w:customStyle="1">
    <w:name w:val="WW8Num9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0z31" w:customStyle="1">
    <w:name w:val="WW8Num30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4z11" w:customStyle="1">
    <w:name w:val="WW8Num24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8z31" w:customStyle="1">
    <w:name w:val="WW8Num18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1z01" w:customStyle="1">
    <w:name w:val="WW8Num21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5z21" w:customStyle="1">
    <w:name w:val="WW8Num15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4z01" w:customStyle="1">
    <w:name w:val="WW8Num24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8z01" w:customStyle="1">
    <w:name w:val="WW8Num28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7z11" w:customStyle="1">
    <w:name w:val="WW8Num17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7z11" w:customStyle="1">
    <w:name w:val="WW8Num7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4z11" w:customStyle="1">
    <w:name w:val="WW8Num34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4z31" w:customStyle="1">
    <w:name w:val="WW8Num24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9z21" w:customStyle="1">
    <w:name w:val="WW8Num19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z01" w:customStyle="1">
    <w:name w:val="WW8Num1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z51" w:customStyle="1">
    <w:name w:val="WW8Num3z5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2z31" w:customStyle="1">
    <w:name w:val="WW8Num22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3z01" w:customStyle="1">
    <w:name w:val="WW8Num23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3z11" w:customStyle="1">
    <w:name w:val="WW8Num23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1z31" w:customStyle="1">
    <w:name w:val="WW8Num21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6z11" w:customStyle="1">
    <w:name w:val="WW8Num16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5z11" w:customStyle="1">
    <w:name w:val="WW8Num5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9z11" w:customStyle="1">
    <w:name w:val="WW8Num29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39" w:customStyle="1">
    <w:name w:val="Основной текст_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6"/>
      <w:szCs w:val="20"/>
      <w:shd w:fill="FFFFFF" w:val="clear"/>
      <w:lang w:val="ru-RU" w:eastAsia="zh-CN" w:bidi="hi-IN"/>
    </w:rPr>
  </w:style>
  <w:style w:type="paragraph" w:styleId="WW8Num26z31" w:customStyle="1">
    <w:name w:val="WW8Num26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31" w:customStyle="1">
    <w:name w:val="TOC 3"/>
    <w:next w:val="Normal"/>
    <w:rsid w:val="003c4386"/>
    <w:pPr>
      <w:widowControl/>
      <w:suppressAutoHyphens w:val="true"/>
      <w:bidi w:val="0"/>
      <w:spacing w:before="0" w:after="0"/>
      <w:ind w:left="4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z11" w:customStyle="1">
    <w:name w:val="WW8Num1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40" w:customStyle="1">
    <w:name w:val="Верхний колонтитул Знак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WW8Num12z01" w:customStyle="1">
    <w:name w:val="WW8Num12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ListParagraph">
    <w:name w:val="List Paragraph"/>
    <w:basedOn w:val="Normal"/>
    <w:qFormat/>
    <w:rsid w:val="003c4386"/>
    <w:pPr>
      <w:ind w:left="720" w:hanging="0"/>
    </w:pPr>
    <w:rPr>
      <w:rFonts w:ascii="Calibri" w:hAnsi="Calibri"/>
      <w:sz w:val="22"/>
    </w:rPr>
  </w:style>
  <w:style w:type="paragraph" w:styleId="WW8Num9z31" w:customStyle="1">
    <w:name w:val="WW8Num9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6z31" w:customStyle="1">
    <w:name w:val="WW8Num6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7z81" w:customStyle="1">
    <w:name w:val="WW8Num27z8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0z21" w:customStyle="1">
    <w:name w:val="WW8Num30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8z61" w:customStyle="1">
    <w:name w:val="WW8Num18z6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6z01" w:customStyle="1">
    <w:name w:val="WW8Num36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16"/>
      <w:szCs w:val="20"/>
      <w:lang w:val="ru-RU" w:eastAsia="zh-CN" w:bidi="hi-IN"/>
    </w:rPr>
  </w:style>
  <w:style w:type="paragraph" w:styleId="WW8Num12z11" w:customStyle="1">
    <w:name w:val="WW8Num12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7z61" w:customStyle="1">
    <w:name w:val="WW8Num27z6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P1mailrucssattributepostfix1" w:customStyle="1">
    <w:name w:val="p1_mailru_css_attribute_postfix"/>
    <w:basedOn w:val="Normal"/>
    <w:qFormat/>
    <w:rsid w:val="003c4386"/>
    <w:pPr>
      <w:spacing w:before="280" w:after="280"/>
    </w:pPr>
    <w:rPr/>
  </w:style>
  <w:style w:type="paragraph" w:styleId="113" w:customStyle="1">
    <w:name w:val="Обычный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WW8Num16z21" w:customStyle="1">
    <w:name w:val="WW8Num16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FootnoteCharacters1" w:customStyle="1">
    <w:name w:val="Footnote Characters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vertAlign w:val="superscript"/>
      <w:lang w:val="ru-RU" w:eastAsia="zh-CN" w:bidi="hi-IN"/>
    </w:rPr>
  </w:style>
  <w:style w:type="paragraph" w:styleId="WW8Num1z21" w:customStyle="1">
    <w:name w:val="WW8Num1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3z11" w:customStyle="1">
    <w:name w:val="WW8Num33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3z21" w:customStyle="1">
    <w:name w:val="WW8Num13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7z11" w:customStyle="1">
    <w:name w:val="WW8Num37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5" w:customStyle="1">
    <w:name w:val="Основной текст 2 Знак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8"/>
      <w:szCs w:val="20"/>
      <w:lang w:val="ru-RU" w:eastAsia="zh-CN" w:bidi="hi-IN"/>
    </w:rPr>
  </w:style>
  <w:style w:type="paragraph" w:styleId="WW8Num31z11" w:customStyle="1">
    <w:name w:val="WW8Num31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7z21" w:customStyle="1">
    <w:name w:val="WW8Num27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4z21" w:customStyle="1">
    <w:name w:val="WW8Num4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7z41" w:customStyle="1">
    <w:name w:val="WW8Num27z4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6z11" w:customStyle="1">
    <w:name w:val="WW8Num26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8z01" w:customStyle="1">
    <w:name w:val="WW8Num18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3z41" w:customStyle="1">
    <w:name w:val="WW8Num13z4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9z21" w:customStyle="1">
    <w:name w:val="WW8Num9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9z31" w:customStyle="1">
    <w:name w:val="WW8Num29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z01" w:customStyle="1">
    <w:name w:val="WW8Num2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8"/>
      <w:szCs w:val="20"/>
      <w:lang w:val="ru-RU" w:eastAsia="zh-CN" w:bidi="hi-IN"/>
    </w:rPr>
  </w:style>
  <w:style w:type="paragraph" w:styleId="WW8Num8z01" w:customStyle="1">
    <w:name w:val="WW8Num8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0z11" w:customStyle="1">
    <w:name w:val="WW8Num20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14" w:customStyle="1">
    <w:name w:val="Основной шрифт абзаца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7z01" w:customStyle="1">
    <w:name w:val="WW8Num27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4z01" w:customStyle="1">
    <w:name w:val="WW8Num4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16"/>
      <w:szCs w:val="20"/>
      <w:lang w:val="ru-RU" w:eastAsia="zh-CN" w:bidi="hi-IN"/>
    </w:rPr>
  </w:style>
  <w:style w:type="paragraph" w:styleId="WW8Num32z01" w:customStyle="1">
    <w:name w:val="WW8Num32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TableParagraph1" w:customStyle="1">
    <w:name w:val="Table Paragraph"/>
    <w:basedOn w:val="Normal"/>
    <w:qFormat/>
    <w:rsid w:val="003c4386"/>
    <w:pPr>
      <w:widowControl w:val="false"/>
      <w:ind w:left="108" w:right="95" w:firstLine="540"/>
      <w:jc w:val="both"/>
    </w:pPr>
    <w:rPr>
      <w:sz w:val="22"/>
    </w:rPr>
  </w:style>
  <w:style w:type="paragraph" w:styleId="WW8Num8z21" w:customStyle="1">
    <w:name w:val="WW8Num8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6z11" w:customStyle="1">
    <w:name w:val="WW8Num6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5z21" w:customStyle="1">
    <w:name w:val="WW8Num35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1z31" w:customStyle="1">
    <w:name w:val="WW8Num11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4z01" w:customStyle="1">
    <w:name w:val="WW8Num34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6z01" w:customStyle="1">
    <w:name w:val="WW8Num16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15" w:customStyle="1">
    <w:name w:val="Гиперссылка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FF"/>
      <w:kern w:val="0"/>
      <w:sz w:val="20"/>
      <w:szCs w:val="20"/>
      <w:u w:val="single"/>
      <w:lang w:val="ru-RU" w:eastAsia="zh-CN" w:bidi="hi-IN"/>
    </w:rPr>
  </w:style>
  <w:style w:type="paragraph" w:styleId="Footnote1" w:customStyle="1">
    <w:name w:val="Footnote"/>
    <w:basedOn w:val="Normal"/>
    <w:qFormat/>
    <w:rsid w:val="003c4386"/>
    <w:pPr/>
    <w:rPr>
      <w:sz w:val="20"/>
    </w:rPr>
  </w:style>
  <w:style w:type="paragraph" w:styleId="WW8Num29z01" w:customStyle="1">
    <w:name w:val="WW8Num29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16"/>
      <w:szCs w:val="20"/>
      <w:lang w:val="ru-RU" w:eastAsia="zh-CN" w:bidi="hi-IN"/>
    </w:rPr>
  </w:style>
  <w:style w:type="paragraph" w:styleId="WW8Num14z31" w:customStyle="1">
    <w:name w:val="WW8Num14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16" w:customStyle="1">
    <w:name w:val="TOC 1"/>
    <w:next w:val="Normal"/>
    <w:rsid w:val="003c4386"/>
    <w:pPr>
      <w:widowControl/>
      <w:suppressAutoHyphens w:val="true"/>
      <w:bidi w:val="0"/>
      <w:spacing w:before="0" w:after="0"/>
      <w:jc w:val="left"/>
    </w:pPr>
    <w:rPr>
      <w:rFonts w:ascii="XO Thames" w:hAnsi="XO Thames" w:eastAsia="Tahoma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WW8Num29z21" w:customStyle="1">
    <w:name w:val="WW8Num29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26" w:customStyle="1">
    <w:name w:val="Основной текст2"/>
    <w:basedOn w:val="Normal"/>
    <w:qFormat/>
    <w:rsid w:val="003c4386"/>
    <w:pPr>
      <w:widowControl w:val="false"/>
      <w:spacing w:lineRule="exact" w:line="370" w:before="0" w:after="1440"/>
      <w:jc w:val="center"/>
    </w:pPr>
    <w:rPr>
      <w:sz w:val="26"/>
    </w:rPr>
  </w:style>
  <w:style w:type="paragraph" w:styleId="WW8Num18z11" w:customStyle="1">
    <w:name w:val="WW8Num18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41" w:customStyle="1">
    <w:name w:val="Символ концевой сноски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vertAlign w:val="superscript"/>
      <w:lang w:val="ru-RU" w:eastAsia="zh-CN" w:bidi="hi-IN"/>
    </w:rPr>
  </w:style>
  <w:style w:type="paragraph" w:styleId="WW8Num7z21" w:customStyle="1">
    <w:name w:val="WW8Num7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42" w:customStyle="1">
    <w:name w:val="Endnote Text"/>
    <w:basedOn w:val="Normal"/>
    <w:rsid w:val="003c4386"/>
    <w:pPr/>
    <w:rPr>
      <w:sz w:val="20"/>
    </w:rPr>
  </w:style>
  <w:style w:type="paragraph" w:styleId="Caption">
    <w:name w:val="caption"/>
    <w:basedOn w:val="Normal"/>
    <w:qFormat/>
    <w:rsid w:val="003c4386"/>
    <w:pPr>
      <w:spacing w:before="120" w:after="120"/>
    </w:pPr>
    <w:rPr>
      <w:i/>
    </w:rPr>
  </w:style>
  <w:style w:type="paragraph" w:styleId="WW8Num33z01" w:customStyle="1">
    <w:name w:val="WW8Num33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7z01" w:customStyle="1">
    <w:name w:val="WW8Num7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9z61" w:customStyle="1">
    <w:name w:val="WW8Num9z6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43">
    <w:name w:val="Header"/>
    <w:basedOn w:val="Normal"/>
    <w:link w:val="1e"/>
    <w:uiPriority w:val="99"/>
    <w:unhideWhenUsed/>
    <w:rsid w:val="00137a3b"/>
    <w:pPr>
      <w:tabs>
        <w:tab w:val="clear" w:pos="708"/>
        <w:tab w:val="center" w:pos="4677" w:leader="none"/>
        <w:tab w:val="right" w:pos="9355" w:leader="none"/>
      </w:tabs>
    </w:pPr>
    <w:rPr>
      <w:rFonts w:cs="Mangal"/>
    </w:rPr>
  </w:style>
  <w:style w:type="paragraph" w:styleId="9" w:customStyle="1">
    <w:name w:val="TOC 9"/>
    <w:next w:val="Normal"/>
    <w:rsid w:val="003c4386"/>
    <w:pPr>
      <w:widowControl/>
      <w:suppressAutoHyphens w:val="true"/>
      <w:bidi w:val="0"/>
      <w:spacing w:before="0" w:after="0"/>
      <w:ind w:left="16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8z71" w:customStyle="1">
    <w:name w:val="WW8Num18z7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0z11" w:customStyle="1">
    <w:name w:val="WW8Num10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4z11" w:customStyle="1">
    <w:name w:val="WW8Num14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44" w:customStyle="1">
    <w:name w:val="Текст концевой сноски Знак"/>
    <w:basedOn w:val="114"/>
    <w:qFormat/>
    <w:rsid w:val="003c4386"/>
    <w:pPr/>
    <w:rPr/>
  </w:style>
  <w:style w:type="paragraph" w:styleId="117" w:customStyle="1">
    <w:name w:val="Строгий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b/>
      <w:color w:val="000000"/>
      <w:kern w:val="0"/>
      <w:sz w:val="20"/>
      <w:szCs w:val="20"/>
      <w:lang w:val="ru-RU" w:eastAsia="zh-CN" w:bidi="hi-IN"/>
    </w:rPr>
  </w:style>
  <w:style w:type="paragraph" w:styleId="WW8Num22z01" w:customStyle="1">
    <w:name w:val="WW8Num22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8"/>
      <w:szCs w:val="20"/>
      <w:lang w:val="ru-RU" w:eastAsia="zh-CN" w:bidi="hi-IN"/>
    </w:rPr>
  </w:style>
  <w:style w:type="paragraph" w:styleId="WW8Num36z21" w:customStyle="1">
    <w:name w:val="WW8Num36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1z11" w:customStyle="1">
    <w:name w:val="WW8Num11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5z01" w:customStyle="1">
    <w:name w:val="WW8Num5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8" w:customStyle="1">
    <w:name w:val="TOC 8"/>
    <w:next w:val="Normal"/>
    <w:rsid w:val="003c4386"/>
    <w:pPr>
      <w:widowControl/>
      <w:suppressAutoHyphens w:val="true"/>
      <w:bidi w:val="0"/>
      <w:spacing w:before="0" w:after="0"/>
      <w:ind w:left="14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7z21" w:customStyle="1">
    <w:name w:val="WW8Num37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3z31" w:customStyle="1">
    <w:name w:val="WW8Num13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4z01" w:customStyle="1">
    <w:name w:val="WW8Num14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8z81" w:customStyle="1">
    <w:name w:val="WW8Num18z8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8z31" w:customStyle="1">
    <w:name w:val="WW8Num8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8z11" w:customStyle="1">
    <w:name w:val="WW8Num8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1z11" w:customStyle="1">
    <w:name w:val="WW8Num21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2z11" w:customStyle="1">
    <w:name w:val="WW8Num22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4z11" w:customStyle="1">
    <w:name w:val="WW8Num4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8z21" w:customStyle="1">
    <w:name w:val="WW8Num28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0z31" w:customStyle="1">
    <w:name w:val="WW8Num20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51" w:customStyle="1">
    <w:name w:val="TOC 5"/>
    <w:next w:val="Normal"/>
    <w:rsid w:val="003c4386"/>
    <w:pPr>
      <w:widowControl/>
      <w:suppressAutoHyphens w:val="true"/>
      <w:bidi w:val="0"/>
      <w:spacing w:before="0" w:after="0"/>
      <w:ind w:left="8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1z01" w:customStyle="1">
    <w:name w:val="WW8Num31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45" w:customStyle="1">
    <w:name w:val="Символ сноски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vertAlign w:val="superscript"/>
      <w:lang w:val="ru-RU" w:eastAsia="zh-CN" w:bidi="hi-IN"/>
    </w:rPr>
  </w:style>
  <w:style w:type="paragraph" w:styleId="WW8Num15z31" w:customStyle="1">
    <w:name w:val="WW8Num15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7z71" w:customStyle="1">
    <w:name w:val="WW8Num27z7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7z51" w:customStyle="1">
    <w:name w:val="WW8Num27z5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46" w:customStyle="1">
    <w:name w:val="Без интервала Знак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Style47" w:customStyle="1">
    <w:name w:val="Текст выноски Знак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ahoma" w:hAnsi="Tahoma" w:eastAsia="Tahoma" w:cs="Droid Sans Devanagari"/>
      <w:color w:val="000000"/>
      <w:kern w:val="0"/>
      <w:sz w:val="16"/>
      <w:szCs w:val="20"/>
      <w:lang w:val="ru-RU" w:eastAsia="zh-CN" w:bidi="hi-IN"/>
    </w:rPr>
  </w:style>
  <w:style w:type="paragraph" w:styleId="WW8Num15z01" w:customStyle="1">
    <w:name w:val="WW8Num15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0z11" w:customStyle="1">
    <w:name w:val="WW8Num30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z41" w:customStyle="1">
    <w:name w:val="WW8Num3z4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7z11" w:customStyle="1">
    <w:name w:val="WW8Num27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1pt1" w:customStyle="1">
    <w:name w:val="Основной текст + 11 pt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2"/>
      <w:szCs w:val="20"/>
      <w:lang w:val="ru-RU" w:eastAsia="zh-CN" w:bidi="hi-IN"/>
    </w:rPr>
  </w:style>
  <w:style w:type="paragraph" w:styleId="27" w:customStyle="1">
    <w:name w:val="Основной шрифт абзаца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z81" w:customStyle="1">
    <w:name w:val="WW8Num3z8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5z01" w:customStyle="1">
    <w:name w:val="WW8Num25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3z61" w:customStyle="1">
    <w:name w:val="WW8Num33z6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48">
    <w:name w:val="Subtitle"/>
    <w:next w:val="Normal"/>
    <w:qFormat/>
    <w:rsid w:val="003c4386"/>
    <w:pPr>
      <w:widowControl/>
      <w:suppressAutoHyphens w:val="true"/>
      <w:bidi w:val="0"/>
      <w:spacing w:before="0" w:after="0"/>
      <w:jc w:val="left"/>
    </w:pPr>
    <w:rPr>
      <w:rFonts w:ascii="XO Thames" w:hAnsi="XO Thames" w:eastAsia="Tahoma" w:cs="Droid Sans Devanagari"/>
      <w:i/>
      <w:color w:val="616161"/>
      <w:kern w:val="0"/>
      <w:sz w:val="24"/>
      <w:szCs w:val="20"/>
      <w:lang w:val="ru-RU" w:eastAsia="zh-CN" w:bidi="hi-IN"/>
    </w:rPr>
  </w:style>
  <w:style w:type="paragraph" w:styleId="WW8Num13z11" w:customStyle="1">
    <w:name w:val="WW8Num13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0z01" w:customStyle="1">
    <w:name w:val="WW8Num10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49" w:customStyle="1">
    <w:name w:val="Текст сноски Знак"/>
    <w:basedOn w:val="114"/>
    <w:qFormat/>
    <w:rsid w:val="003c4386"/>
    <w:pPr/>
    <w:rPr/>
  </w:style>
  <w:style w:type="paragraph" w:styleId="WW8Num9z81" w:customStyle="1">
    <w:name w:val="WW8Num9z8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7z31" w:customStyle="1">
    <w:name w:val="WW8Num27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1z01" w:customStyle="1">
    <w:name w:val="WW8Num11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Wingdings" w:hAnsi="Wingdings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9z71" w:customStyle="1">
    <w:name w:val="WW8Num9z7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z01" w:customStyle="1">
    <w:name w:val="WW8Num3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z31" w:customStyle="1">
    <w:name w:val="WW8Num1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8z51" w:customStyle="1">
    <w:name w:val="WW8Num18z5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EndnoteCharacters1" w:customStyle="1">
    <w:name w:val="Endnote Characters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vertAlign w:val="superscript"/>
      <w:lang w:val="ru-RU" w:eastAsia="zh-CN" w:bidi="hi-IN"/>
    </w:rPr>
  </w:style>
  <w:style w:type="paragraph" w:styleId="Toc101" w:customStyle="1">
    <w:name w:val="toc 10"/>
    <w:next w:val="Normal"/>
    <w:qFormat/>
    <w:rsid w:val="003c4386"/>
    <w:pPr>
      <w:widowControl/>
      <w:suppressAutoHyphens w:val="true"/>
      <w:bidi w:val="0"/>
      <w:spacing w:before="0" w:after="0"/>
      <w:ind w:left="1800" w:hanging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z21" w:customStyle="1">
    <w:name w:val="WW8Num3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7z01" w:customStyle="1">
    <w:name w:val="WW8Num37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50">
    <w:name w:val="Title"/>
    <w:next w:val="Normal"/>
    <w:qFormat/>
    <w:rsid w:val="003c4386"/>
    <w:pPr>
      <w:widowControl/>
      <w:suppressAutoHyphens w:val="true"/>
      <w:bidi w:val="0"/>
      <w:spacing w:before="0" w:after="0"/>
      <w:jc w:val="left"/>
    </w:pPr>
    <w:rPr>
      <w:rFonts w:ascii="XO Thames" w:hAnsi="XO Thames" w:eastAsia="Tahoma" w:cs="Droid Sans Devanagari"/>
      <w:b/>
      <w:color w:val="000000"/>
      <w:kern w:val="0"/>
      <w:sz w:val="52"/>
      <w:szCs w:val="20"/>
      <w:lang w:val="ru-RU" w:eastAsia="zh-CN" w:bidi="hi-IN"/>
    </w:rPr>
  </w:style>
  <w:style w:type="paragraph" w:styleId="NormalWeb">
    <w:name w:val="Normal (Web)"/>
    <w:basedOn w:val="Normal"/>
    <w:qFormat/>
    <w:rsid w:val="003c4386"/>
    <w:pPr>
      <w:spacing w:lineRule="auto" w:line="360" w:before="280" w:after="280"/>
      <w:ind w:firstLine="720"/>
      <w:jc w:val="both"/>
    </w:pPr>
    <w:rPr>
      <w:sz w:val="32"/>
    </w:rPr>
  </w:style>
  <w:style w:type="paragraph" w:styleId="WW8Num19z11" w:customStyle="1">
    <w:name w:val="WW8Num19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5z11" w:customStyle="1">
    <w:name w:val="WW8Num25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2z11" w:customStyle="1">
    <w:name w:val="WW8Num2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118" w:customStyle="1">
    <w:name w:val="Номер строки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z61" w:customStyle="1">
    <w:name w:val="WW8Num3z6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9z01" w:customStyle="1">
    <w:name w:val="WW8Num19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16"/>
      <w:szCs w:val="20"/>
      <w:lang w:val="ru-RU" w:eastAsia="zh-CN" w:bidi="hi-IN"/>
    </w:rPr>
  </w:style>
  <w:style w:type="paragraph" w:styleId="WW8Num4z31" w:customStyle="1">
    <w:name w:val="WW8Num4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6z11" w:customStyle="1">
    <w:name w:val="WW8Num36z1"/>
    <w:qFormat/>
    <w:rsid w:val="003c4386"/>
    <w:pPr>
      <w:widowControl/>
      <w:suppressAutoHyphens w:val="true"/>
      <w:bidi w:val="0"/>
      <w:spacing w:before="0" w:after="0"/>
      <w:jc w:val="left"/>
    </w:pPr>
    <w:rPr>
      <w:rFonts w:ascii="Courier New" w:hAnsi="Courier New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3z81" w:customStyle="1">
    <w:name w:val="WW8Num33z8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7z31" w:customStyle="1">
    <w:name w:val="WW8Num7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3z21" w:customStyle="1">
    <w:name w:val="WW8Num33z2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3z01" w:customStyle="1">
    <w:name w:val="WW8Num13z0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16"/>
      <w:szCs w:val="20"/>
      <w:lang w:val="ru-RU" w:eastAsia="zh-CN" w:bidi="hi-IN"/>
    </w:rPr>
  </w:style>
  <w:style w:type="paragraph" w:styleId="WW8Num9z51" w:customStyle="1">
    <w:name w:val="WW8Num9z5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18z41" w:customStyle="1">
    <w:name w:val="WW8Num18z4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WW8Num32z31" w:customStyle="1">
    <w:name w:val="WW8Num32z3"/>
    <w:qFormat/>
    <w:rsid w:val="003c4386"/>
    <w:pPr>
      <w:widowControl/>
      <w:suppressAutoHyphens w:val="true"/>
      <w:bidi w:val="0"/>
      <w:spacing w:before="0" w:after="0"/>
      <w:jc w:val="left"/>
    </w:pPr>
    <w:rPr>
      <w:rFonts w:ascii="Symbol" w:hAnsi="Symbol" w:eastAsia="Tahoma" w:cs="Droid Sans Devanagari"/>
      <w:color w:val="000000"/>
      <w:kern w:val="0"/>
      <w:sz w:val="20"/>
      <w:szCs w:val="20"/>
      <w:lang w:val="ru-RU" w:eastAsia="zh-CN" w:bidi="hi-IN"/>
    </w:rPr>
  </w:style>
  <w:style w:type="paragraph" w:styleId="Style51" w:customStyle="1">
    <w:name w:val="Footnote Text"/>
    <w:basedOn w:val="Normal"/>
    <w:rsid w:val="003c4386"/>
    <w:pPr/>
    <w:rPr/>
  </w:style>
  <w:style w:type="paragraph" w:styleId="Style52" w:customStyle="1">
    <w:name w:val="Содержимое врезки"/>
    <w:basedOn w:val="Normal"/>
    <w:qFormat/>
    <w:rsid w:val="003c4386"/>
    <w:pPr/>
    <w:rPr/>
  </w:style>
  <w:style w:type="paragraph" w:styleId="Default" w:customStyle="1">
    <w:name w:val="Default"/>
    <w:qFormat/>
    <w:rsid w:val="003c43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76235A-1190-4B33-B152-D9529CDA2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Application>LibreOffice/7.1.6.2$Linux_X86_64 LibreOffice_project/0e133318fcee89abacd6a7d077e292f1145735c3</Application>
  <AppVersion>15.0000</AppVersion>
  <Pages>32</Pages>
  <Words>10859</Words>
  <Characters>77926</Characters>
  <CharactersWithSpaces>88627</CharactersWithSpaces>
  <Paragraphs>340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2022-02-28T14:39:00Z</dcterms:created>
  <dc:creator>User</dc:creator>
  <dc:description/>
  <dc:language>ru-RU</dc:language>
  <cp:lastModifiedBy/>
  <cp:lastPrinted>2022-03-01T08:11:00Z</cp:lastPrinted>
  <dcterms:modified xsi:type="dcterms:W3CDTF">2022-03-09T15:17:50Z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