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-567" w:right="-1" w:firstLine="567"/>
        <w:jc w:val="center"/>
        <w:rPr>
          <w:rFonts w:eastAsia="Times New Roman"/>
          <w:b/>
          <w:b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kern w:val="2"/>
          <w:sz w:val="28"/>
          <w:szCs w:val="28"/>
          <w:lang w:eastAsia="ru-RU"/>
        </w:rPr>
        <w:t xml:space="preserve">Стратегия развития транспортной системы </w:t>
        <w:br/>
        <w:t>г. Москвы и Московской области на период до 2035 года</w:t>
      </w:r>
    </w:p>
    <w:p>
      <w:pPr>
        <w:pStyle w:val="Normal"/>
        <w:spacing w:lineRule="auto" w:line="276" w:before="0" w:after="0"/>
        <w:ind w:left="-567" w:right="-1" w:firstLine="567"/>
        <w:jc w:val="center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left="-567" w:right="-1" w:firstLine="567"/>
        <w:jc w:val="both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Согласно решению Координационного совета по развитию транспортной системы г. Москвы и Московской области по заказу Автономной некоммерческой организации «Дирекция Московского транспортного узла» разработана Стратегия развития транспортной системы г. Москвы и Московской области на период</w:t>
        <w:br/>
        <w:t>до 2035 года (далее – Стратегия).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Стратегии является создание эффективного инструмента управления комплексным развитием Центрального транспортного узла в составе транспортных систем города Москвы и Московской области.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2011 года Московский транспортный узел, в настоящее время получивший название Центральный транспортный узел, радикально преобразился. По признанию большинства международных экспертов транспортная система Московской агломерации является одной из самых эффективных в мире. В тоже время продолжается реализация широкомасштабных мероприятий по улучшению транспортной системы для обеспечения потребностей жителей Москвы и Московской области в пассажирских и грузовых перевозках. 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Появление пандемии новой коронавирусной инфекции накладывает особые условия к качеству предоставляемых транспортных услуг  в части необходимости формирования новых требований к транспортным средствам и технологии перевозки в целом.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развитию транспортной системы Москвы и Московской области разработаны в соответствии с национальными целями и стратегическими задачами развития Российской Федерации, установленными Президентом Российской Федерации в Указах: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  <w:tab w:val="left" w:pos="851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 (от 07.05.2018 №204);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  <w:tab w:val="left" w:pos="851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национальных целях развития Российской Федерации на период </w:t>
        <w:br/>
        <w:t xml:space="preserve">до 2030 года, в том числе национальными целями «Сохранение населения, здоровье и благополучие людей», «Возможности для самореализации </w:t>
        <w:br/>
        <w:t xml:space="preserve">и развития талантов», «Комфортная и безопасная среда для жизни», «Достойный, эффективный труд и успешное предпринимательство», «Цифровая трансформация» (от 21.07.2020 №474). </w:t>
      </w:r>
    </w:p>
    <w:p>
      <w:pPr>
        <w:pStyle w:val="Normal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Стратегии поставлены пять задач, являющихся вызовами для транспортной системы Московской агломерации на период до 2035 года:</w:t>
      </w:r>
    </w:p>
    <w:p>
      <w:pPr>
        <w:pStyle w:val="ListParagraph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протяжённости каркаса транспортной сети и сокращение времени поездки на пассажирском транспорте;</w:t>
      </w:r>
    </w:p>
    <w:p>
      <w:pPr>
        <w:pStyle w:val="ListParagraph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ценовой доступности перевозок общественным транспортом;</w:t>
      </w:r>
    </w:p>
    <w:p>
      <w:pPr>
        <w:pStyle w:val="ListParagraph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комфортности и безопасности перевозок, в том числе для маломобильных групп пассажиров;</w:t>
      </w:r>
    </w:p>
    <w:p>
      <w:pPr>
        <w:pStyle w:val="ListParagraph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транспортных издержек при доставке грузов в Москву и Московскую область в условиях жестких экологических, градостроительных и транспортных ограничений для грузового транспорта и логистики (в том числе необходимость расширения использования рельсового и внутреннего водного транспорта для грузового снабжения Москвы и Московской области);</w:t>
      </w:r>
    </w:p>
    <w:p>
      <w:pPr>
        <w:pStyle w:val="ListParagraph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новых технологий в транспортной системе Москвы </w:t>
        <w:br/>
        <w:t xml:space="preserve">и Московской области (в том числе рост использования электромобилей </w:t>
        <w:br/>
        <w:t>и массовое развитие инфраструктуры для их зарядки, внедрение беспилотного транспорта).</w:t>
      </w:r>
    </w:p>
    <w:p>
      <w:pPr>
        <w:pStyle w:val="Normal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задачи определены подзадачи и разработаны целевые индикаторы. Всего предложено 72 индикатора, которые характеризуют состояние или развитие транспортной системы на период до 2035 года. 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Стратегии предложены три сценария реализации – консервативный, базовый и оптимистический, соответствующие социально-экономическим сценариям развития Москвы и Московской области, в соответствии с привычной терминологией.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из сценариев прогнозируются различные объёмы пассажирских </w:t>
        <w:br/>
        <w:t xml:space="preserve">и грузовых перевозок и возможности финансирования потенциальных инфраструктурных мероприятий. Сценарии отличаются друг от друга набором мероприятий и сроками их реализации. 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предложен с учётом уровня их проработки </w:t>
        <w:br/>
        <w:t>и соответствует Генеральному плану г. Москвы, Схеме территориального планирования транспортного обслуживания Московской области, Территориальной схеме развития Новомосковского административного округа</w:t>
        <w:br/>
      </w:r>
      <w:bookmarkStart w:id="0" w:name="_GoBack"/>
      <w:bookmarkEnd w:id="0"/>
      <w:r>
        <w:rPr>
          <w:sz w:val="28"/>
          <w:szCs w:val="28"/>
        </w:rPr>
        <w:t>г. Москвы и Территориальной схеме развития Троицкого административного округа г. Москвы согласно их актуальным редакциям на момент утверждения Стратегии.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 фактором отнесения инфраструктурных проектов к тому или иному сценарию являлись результаты транспортного моделирования, позволяющего оценить потоки пассажиров и автомобилей на каждом элементе транспортной системы. </w:t>
      </w:r>
    </w:p>
    <w:p>
      <w:pPr>
        <w:pStyle w:val="Normal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выполнено по матрице корреспонденций в разрезе видов транспорта и состоит из трёх основных компонент – прогнозирования суммарного спроса на пассажирские перевозки всеми видами транспорта на каждой корреспонденции, распределения суммарного пассажиропотока по видам транспорта, прогнозирования индуцированного спроса, вызванного качественным развитием транспортной инфраструктуры.</w:t>
      </w:r>
    </w:p>
    <w:p>
      <w:pPr>
        <w:pStyle w:val="Normal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Стратегии предложены приоритетные мероприятия и направления развития транспортной системы исходя из предпосылок социально-экономического развития регионов, трансформации структуры расселения и распределения рабочих мест, изменения структуры занятости </w:t>
        <w:br/>
        <w:t xml:space="preserve">и других факторов. 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развития транспортной системы Москвы </w:t>
        <w:br/>
        <w:t>и Московской области на период до 2035 года: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новых скоростных и высокоскоростных железнодорожных коридоров;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формирования сети федеральных скоростных автодорог, включающее строительство и реконструкцию участков на действующих автодорогах федерального и регионального значения;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пропускной способности аэропортов МАУ и г. Жуковский;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диаметрального пригородного и городского железнодорожного сообщения (сервис МЦД), сокращение минимальных интервалов движения, строительство дополнительных главных путей;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сети ЛРТ – легкого рельсового транспорта, большинство из которых станут новыми хордовыми направлениями пассажирского транспорта с высокой провозной способностью;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комплексных проектов транспортного развития в семи географических секторах на стыке периферийных территорий Москвы </w:t>
        <w:br/>
        <w:t>и ближнего пояса Московской области, где требуются первоочередные мероприятия по увеличению транспортной доступности;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новых автодорог между центрами опережающего экономического развития Московской области;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локальных узких мест на сети автодорог, где регулярно возникают транспортные заторы (одноуровневые переезды, перекрестки загруженных автодорог и др.);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протяжённости сети метрополитена с учётом планов </w:t>
        <w:br/>
        <w:t>по реализации программ реновации пятиэтажного жилого фонда и редевелопмента промышленных зон, а также необходимости разгрузки радиальных направлений на подходе к центральной части Москвы;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формирования распределительного контура автодорог на территории Москвы и создание автодорожного каркаса нового качества в Новой Москве;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регулярных маршрутов перевозок внутренним водным транспортом;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удобства планирования поездок, в том числе благодаря внедрению новых цифровых сервисов;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тарифных систем Москвы и Московской области;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новых подходов к оборудованию остановочных пунктов;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комфортности пребывания в транспортных средствах всех типов и усиление требований к их производителям;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новых подходов к проектированию ТПУ и создание на их базе новых «точек притяжения» - общественных культурно-досуговых центров </w:t>
        <w:br/>
        <w:t>с высоким уровнем цифровизации;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использования велосипедов и самокатов в качестве транспорта «последней мили»;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технологическое развитие и цифровая трансформация узловых мультимодальных транспортно-логистических центров;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сети современных центров обработки грузов – оптово-распределительных центров (ОРЦ) и логистических коворкингов;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внедрение концепции железнодорожной смарт-логистики и повышение использования железнодорожного транспорта для перевозок грузов на короткие расстояния;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использования внутреннего водного транспорта  для перевозок грузов, в том числе для завоза материалов на градостроительные объекты Москвы, и создание новых площадок для перегрузки нерудных строительных материалов;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маршрутизация и «уберизация» грузовых перевозок автомобильным транспортом;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использования электромобилей и развитие рынка газомоторного топлива;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экологических зон в Москве и Московской области;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норм международной программы </w:t>
      </w:r>
      <w:r>
        <w:rPr>
          <w:sz w:val="28"/>
          <w:szCs w:val="28"/>
          <w:lang w:val="en-US"/>
        </w:rPr>
        <w:t>Vision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Zero</w:t>
      </w:r>
      <w:r>
        <w:rPr>
          <w:sz w:val="28"/>
          <w:szCs w:val="28"/>
        </w:rPr>
        <w:t xml:space="preserve"> для повышения безопасности на транспорте;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программы комплексной кибербезопасности транспортного комплекса Москвы и Московской области;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пассажирских сервисов типа </w:t>
      </w:r>
      <w:r>
        <w:rPr>
          <w:sz w:val="28"/>
          <w:szCs w:val="28"/>
          <w:lang w:val="en-US"/>
        </w:rPr>
        <w:t>MaaS</w:t>
      </w:r>
      <w:r>
        <w:rPr>
          <w:sz w:val="28"/>
          <w:szCs w:val="28"/>
        </w:rPr>
        <w:t xml:space="preserve"> («мобильность как услуга»);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управления городским движением;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технологий автобусного беспилотного транспорта «по вызову», автоматизированного каршеринга и беспилотного грузового движения;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нормативное закрепление воздушных маршрутов для организации движения беспилотных летательных аппаратов в Москве </w:t>
        <w:br/>
        <w:t>и Московской области, в том числе для перевозок грузов.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Стратегии произведена оценка прогнозных социально-экономических эффектов от реализации предложенных мероприятий, в том числе эффекты инвестиционного спроса (возникающие в результате строительно-монтажных работ), прямые эффекты (возникающие в результате осуществления операционной деятельности коммерческих перевозчиков), агломерационные эффекты и эффекты от экономии времени в пути (возникающие в результате роста производительности труда) и эффекты от снижения количества ДТП </w:t>
        <w:br/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Стратегии будет способствовать достижению поставленной в национальном проекте «Безопасные и качественные автомобильные дороги» цели снижения смертности в результате дорожно-транспортных происшествий, сокращения доли автодорог федерального </w:t>
        <w:br/>
        <w:t xml:space="preserve">и регионального значения, работающих в режиме перегрузки, и количества мест концентрации дорожно-транспортных происшествий.  </w:t>
      </w:r>
    </w:p>
    <w:p>
      <w:pPr>
        <w:pStyle w:val="Normal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будет оказано влияние на достижение индикаторов «кардинальное повышение комфортности городской среды» и «кардинальное снижение уровня загрязнения атмосферного воздуха в крупных промышленных центрах» Национальных проектов «Жильё и городская среда» и «Экология» соответственно.</w:t>
      </w:r>
    </w:p>
    <w:p>
      <w:pPr>
        <w:pStyle w:val="Normal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Одновременно, Стратегия является инструментом контроля за изменениями влияния социально-экономического развития Московской агломерации на состояние ее транспортной системы. Для этой цели сформирована система показателей и индикаторов Стратегии отражающая все аспекты развития транспортных систем города Москвы и Московской области, включающая как показатели по оценке реализации мероприятий предусмотренных Стратегией, так и показатели по оценке эффективности функционирования собственно транспортной системы Московской агломерации. В Стратегии предусмотрено создание системы мониторинга, предусматривающей ежегодное формированием Сводного отчета о ходе реализации Стратегии и его доведение до сведения Министерства транспорта Российской Федерации, Мэра Москвы и Губернатора Московской области, ИОГВ г. Москвы и Московской области.</w:t>
      </w:r>
    </w:p>
    <w:p>
      <w:pPr>
        <w:pStyle w:val="Normal"/>
        <w:spacing w:before="24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транспортной системы г. Москвы и Московской области на период до 2035 года 01.12.2021 одобрена на заседании Координационного совета по развитию транспортной систем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г. Москвы и Московской области</w:t>
        <w:br/>
        <w:t>под председательством заместителя Председателя Правительства Российской Федерации М.Ш. Хуснуллина.</w:t>
      </w:r>
    </w:p>
    <w:p>
      <w:pPr>
        <w:pStyle w:val="Normal"/>
        <w:spacing w:before="0" w:after="160"/>
        <w:ind w:left="-567" w:firstLine="567"/>
        <w:jc w:val="both"/>
        <w:rPr>
          <w:rFonts w:eastAsia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Координационным советом поручено Автономной некоммерческой организации «Дирекция Московского транспортного узла» осуществлять ежегодный мониторинг индикаторов и показателей Стратегии и формирование </w:t>
      </w:r>
      <w:r>
        <w:rPr>
          <w:sz w:val="28"/>
          <w:szCs w:val="28"/>
        </w:rPr>
        <w:t>Сводного отчета о ходе реализации Стратегии.</w:t>
      </w:r>
    </w:p>
    <w:sectPr>
      <w:type w:val="nextPage"/>
      <w:pgSz w:w="11906" w:h="16838"/>
      <w:pgMar w:left="1701" w:right="850" w:header="0" w:top="851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c7f14"/>
    <w:rPr>
      <w:rFonts w:ascii="Tahoma" w:hAnsi="Tahoma" w:cs="Tahoma"/>
      <w:sz w:val="16"/>
      <w:szCs w:val="16"/>
    </w:rPr>
  </w:style>
  <w:style w:type="character" w:styleId="Style15" w:customStyle="1">
    <w:name w:val="Основной текст документа Знак"/>
    <w:basedOn w:val="DefaultParagraphFont"/>
    <w:link w:val="a7"/>
    <w:uiPriority w:val="99"/>
    <w:qFormat/>
    <w:locked/>
    <w:rsid w:val="00371c49"/>
    <w:rPr>
      <w:rFonts w:eastAsia="Times New Roman" w:cs="Arial"/>
      <w:szCs w:val="24"/>
      <w:lang w:eastAsia="ru-RU"/>
    </w:rPr>
  </w:style>
  <w:style w:type="character" w:styleId="Style16" w:customStyle="1">
    <w:name w:val="Абзац списка Знак"/>
    <w:basedOn w:val="DefaultParagraphFont"/>
    <w:link w:val="a3"/>
    <w:uiPriority w:val="34"/>
    <w:qFormat/>
    <w:locked/>
    <w:rsid w:val="006d7aa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link w:val="a4"/>
    <w:uiPriority w:val="34"/>
    <w:qFormat/>
    <w:rsid w:val="00521d7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c7f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Основной текст документа"/>
    <w:basedOn w:val="Normal"/>
    <w:link w:val="a8"/>
    <w:uiPriority w:val="99"/>
    <w:qFormat/>
    <w:rsid w:val="00371c49"/>
    <w:pPr>
      <w:tabs>
        <w:tab w:val="clear" w:pos="708"/>
        <w:tab w:val="left" w:pos="3828" w:leader="none"/>
      </w:tabs>
      <w:spacing w:lineRule="auto" w:line="360" w:before="0" w:after="0"/>
      <w:ind w:firstLine="567"/>
      <w:jc w:val="both"/>
    </w:pPr>
    <w:rPr>
      <w:rFonts w:eastAsia="Times New Roman" w:cs="Arial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0576-AF4D-4F07-B478-C52ABA17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LibreOffice/7.1.7.2$Linux_X86_64 LibreOffice_project/c6a4e3954236145e2acb0b65f68614365aeee33f</Application>
  <AppVersion>15.0000</AppVersion>
  <Pages>5</Pages>
  <Words>1321</Words>
  <Characters>10070</Characters>
  <CharactersWithSpaces>11328</CharactersWithSpaces>
  <Paragraphs>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2021-12-02T12:45:00Z</dcterms:created>
  <dc:creator>Alex Neretin</dc:creator>
  <dc:description/>
  <dc:language>ru-RU</dc:language>
  <cp:lastModifiedBy/>
  <cp:lastPrinted>2021-12-02T14:48:00Z</cp:lastPrinted>
  <dcterms:modified xsi:type="dcterms:W3CDTF">2022-01-20T13:44:35Z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