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3.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header3.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document.xml" ContentType="application/vnd.openxmlformats-officedocument.wordprocessingml.document.main+xml"/>
  <Override PartName="/word/footer1.xml" ContentType="application/vnd.openxmlformats-officedocument.wordprocessingml.foot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sz w:val="28"/>
          <w:szCs w:val="28"/>
        </w:rPr>
      </w:pPr>
      <w:r>
        <w:rPr>
          <w:sz w:val="28"/>
          <w:szCs w:val="28"/>
        </w:rPr>
        <w:t>Проект</w:t>
      </w:r>
    </w:p>
    <w:tbl>
      <w:tblPr>
        <w:tblW w:w="4536" w:type="dxa"/>
        <w:jc w:val="left"/>
        <w:tblInd w:w="10490" w:type="dxa"/>
        <w:tblLayout w:type="fixed"/>
        <w:tblCellMar>
          <w:top w:w="0" w:type="dxa"/>
          <w:left w:w="108" w:type="dxa"/>
          <w:bottom w:w="0" w:type="dxa"/>
          <w:right w:w="108" w:type="dxa"/>
        </w:tblCellMar>
      </w:tblPr>
      <w:tblGrid>
        <w:gridCol w:w="4536"/>
      </w:tblGrid>
      <w:tr>
        <w:trPr/>
        <w:tc>
          <w:tcPr>
            <w:tcW w:w="4536" w:type="dxa"/>
            <w:tcBorders/>
          </w:tcPr>
          <w:p>
            <w:pPr>
              <w:pStyle w:val="Normal"/>
              <w:widowControl w:val="false"/>
              <w:tabs>
                <w:tab w:val="clear" w:pos="708"/>
                <w:tab w:val="left" w:pos="8364" w:leader="none"/>
              </w:tabs>
              <w:suppressAutoHyphens w:val="true"/>
              <w:spacing w:lineRule="auto" w:line="240" w:before="0" w:after="0"/>
              <w:ind w:left="0" w:right="-142" w:hanging="0"/>
              <w:jc w:val="center"/>
              <w:rPr>
                <w:sz w:val="20"/>
              </w:rPr>
            </w:pPr>
            <w:r>
              <w:rPr>
                <w:sz w:val="20"/>
              </w:rPr>
            </w:r>
          </w:p>
        </w:tc>
      </w:tr>
      <w:tr>
        <w:trPr/>
        <w:tc>
          <w:tcPr>
            <w:tcW w:w="4536" w:type="dxa"/>
            <w:tcBorders/>
          </w:tcPr>
          <w:p>
            <w:pPr>
              <w:pStyle w:val="Normal"/>
              <w:widowControl w:val="false"/>
              <w:tabs>
                <w:tab w:val="clear" w:pos="708"/>
                <w:tab w:val="left" w:pos="8364" w:leader="none"/>
              </w:tabs>
              <w:suppressAutoHyphens w:val="true"/>
              <w:spacing w:lineRule="auto" w:line="240" w:before="0" w:after="0"/>
              <w:ind w:left="0" w:right="0" w:hanging="0"/>
              <w:jc w:val="center"/>
              <w:rPr>
                <w:sz w:val="20"/>
              </w:rPr>
            </w:pPr>
            <w:r>
              <w:rPr>
                <w:sz w:val="20"/>
              </w:rPr>
            </w:r>
          </w:p>
        </w:tc>
      </w:tr>
      <w:tr>
        <w:trPr/>
        <w:tc>
          <w:tcPr>
            <w:tcW w:w="4536" w:type="dxa"/>
            <w:tcBorders/>
          </w:tcPr>
          <w:p>
            <w:pPr>
              <w:pStyle w:val="Normal"/>
              <w:widowControl w:val="false"/>
              <w:tabs>
                <w:tab w:val="clear" w:pos="708"/>
                <w:tab w:val="left" w:pos="8364" w:leader="none"/>
              </w:tabs>
              <w:suppressAutoHyphens w:val="true"/>
              <w:spacing w:lineRule="auto" w:line="240" w:before="0" w:after="0"/>
              <w:ind w:left="0" w:right="-142" w:hanging="0"/>
              <w:jc w:val="center"/>
              <w:rPr>
                <w:sz w:val="20"/>
              </w:rPr>
            </w:pPr>
            <w:r>
              <w:rPr>
                <w:sz w:val="20"/>
              </w:rPr>
            </w:r>
          </w:p>
        </w:tc>
      </w:tr>
      <w:tr>
        <w:trPr/>
        <w:tc>
          <w:tcPr>
            <w:tcW w:w="4536" w:type="dxa"/>
            <w:tcBorders/>
          </w:tcPr>
          <w:p>
            <w:pPr>
              <w:pStyle w:val="Normal"/>
              <w:widowControl w:val="false"/>
              <w:tabs>
                <w:tab w:val="clear" w:pos="708"/>
                <w:tab w:val="left" w:pos="8364" w:leader="none"/>
              </w:tabs>
              <w:suppressAutoHyphens w:val="true"/>
              <w:spacing w:lineRule="auto" w:line="240" w:before="0" w:after="0"/>
              <w:ind w:left="0" w:right="-142" w:hanging="0"/>
              <w:jc w:val="center"/>
              <w:rPr>
                <w:sz w:val="20"/>
              </w:rPr>
            </w:pPr>
            <w:r>
              <w:rPr>
                <w:sz w:val="20"/>
              </w:rPr>
            </w:r>
          </w:p>
        </w:tc>
      </w:tr>
      <w:tr>
        <w:trPr/>
        <w:tc>
          <w:tcPr>
            <w:tcW w:w="4536" w:type="dxa"/>
            <w:tcBorders/>
          </w:tcPr>
          <w:p>
            <w:pPr>
              <w:pStyle w:val="Normal"/>
              <w:widowControl w:val="false"/>
              <w:tabs>
                <w:tab w:val="clear" w:pos="708"/>
                <w:tab w:val="left" w:pos="8364" w:leader="none"/>
              </w:tabs>
              <w:suppressAutoHyphens w:val="true"/>
              <w:spacing w:lineRule="auto" w:line="240" w:before="0" w:after="0"/>
              <w:ind w:left="0" w:right="-142" w:hanging="0"/>
              <w:jc w:val="both"/>
              <w:rPr>
                <w:sz w:val="20"/>
              </w:rPr>
            </w:pPr>
            <w:r>
              <w:rPr>
                <w:sz w:val="20"/>
              </w:rPr>
            </w:r>
          </w:p>
        </w:tc>
      </w:tr>
      <w:tr>
        <w:trPr/>
        <w:tc>
          <w:tcPr>
            <w:tcW w:w="4536" w:type="dxa"/>
            <w:tcBorders/>
          </w:tcPr>
          <w:p>
            <w:pPr>
              <w:pStyle w:val="Normal"/>
              <w:widowControl w:val="false"/>
              <w:tabs>
                <w:tab w:val="clear" w:pos="708"/>
                <w:tab w:val="left" w:pos="8364" w:leader="none"/>
              </w:tabs>
              <w:suppressAutoHyphens w:val="true"/>
              <w:spacing w:lineRule="auto" w:line="240" w:before="0" w:after="0"/>
              <w:ind w:left="0" w:right="-142" w:hanging="0"/>
              <w:jc w:val="center"/>
              <w:rPr>
                <w:sz w:val="20"/>
              </w:rPr>
            </w:pPr>
            <w:r>
              <w:rPr>
                <w:sz w:val="20"/>
              </w:rPr>
            </w:r>
          </w:p>
        </w:tc>
      </w:tr>
    </w:tbl>
    <w:p>
      <w:pPr>
        <w:pStyle w:val="Normal"/>
        <w:tabs>
          <w:tab w:val="clear" w:pos="708"/>
          <w:tab w:val="left" w:pos="8364" w:leader="none"/>
        </w:tabs>
        <w:jc w:val="center"/>
        <w:rPr>
          <w:b/>
          <w:b/>
          <w:sz w:val="28"/>
        </w:rPr>
      </w:pPr>
      <w:r>
        <w:rPr>
          <w:b/>
          <w:sz w:val="28"/>
        </w:rPr>
      </w:r>
    </w:p>
    <w:p>
      <w:pPr>
        <w:pStyle w:val="Normal"/>
        <w:tabs>
          <w:tab w:val="clear" w:pos="708"/>
          <w:tab w:val="left" w:pos="8364" w:leader="none"/>
        </w:tabs>
        <w:jc w:val="center"/>
        <w:rPr/>
      </w:pPr>
      <w:r>
        <w:rPr>
          <w:b/>
          <w:sz w:val="28"/>
        </w:rPr>
        <w:t xml:space="preserve">КОРРЕКТИРОВКА ПЛАНА ДЕЯТЕЛЬНОСТИ МИНИСТЕРСТВА ТРАНСПОРТА РОССИЙСКОЙ ФЕДЕРАЦИИ </w:t>
        <w:br/>
        <w:t>НА 2019</w:t>
      </w:r>
      <w:r>
        <w:rPr>
          <w:sz w:val="28"/>
        </w:rPr>
        <w:t>–</w:t>
      </w:r>
      <w:r>
        <w:rPr>
          <w:b/>
          <w:sz w:val="28"/>
        </w:rPr>
        <w:t>2024 ГОДЫ</w:t>
        <w:br/>
        <w:br/>
        <w:t xml:space="preserve">I. Информация о содержании и основных направлениях государственной политики в сфере ведения федерального органа </w:t>
      </w:r>
      <w:r>
        <w:rPr>
          <w:b/>
          <w:color w:val="000000"/>
          <w:sz w:val="28"/>
        </w:rPr>
        <w:t>исполнительной власти</w:t>
        <w:br/>
      </w:r>
    </w:p>
    <w:p>
      <w:pPr>
        <w:pStyle w:val="Normal"/>
        <w:spacing w:lineRule="auto" w:line="312"/>
        <w:ind w:left="0" w:right="0" w:firstLine="709"/>
        <w:jc w:val="both"/>
        <w:rPr>
          <w:color w:val="000000"/>
          <w:sz w:val="28"/>
        </w:rPr>
      </w:pPr>
      <w:r>
        <w:rPr>
          <w:color w:val="000000"/>
          <w:sz w:val="28"/>
        </w:rPr>
        <w:t xml:space="preserve">Министерство транспорта Российской Федерации является федеральным органом исполнительной власти в области транспорта, осуществляющим функции по выработке государственной политики и нормативно-правовому регулированию </w:t>
        <w:br/>
        <w:t xml:space="preserve">в сфере гражданской авиации, использования воздушного пространства и аэронавигационного обслуживания пользователей воздушного пространства Российской Федерации, авиационно-космического поиска и спасания, морского (включая морские порты), внутреннего водного, железнодорожного, автомобильного (включая проведение транспортного контроля в пунктах пропуска через государственную границу Российской Федерации), внеуличного, городского наземного электрического и промышленного транспорта, дорожного хозяйства, эксплуатации и обеспечения безопасности судоходных гидротехнических сооружений, обеспечения транспортной безопасности, а также государственной регистрации прав </w:t>
        <w:br/>
        <w:t xml:space="preserve">на воздушные суда и сделок с ними и организации дорожного движения в части организационно-правовых мероприятий </w:t>
        <w:br/>
        <w:t>по управлению движением на автомобильных дорогах, в области обустройства государственной границы Российской Федерации, создания, развития и обеспечения деятельности пунктов пропуска через государственную границу Российской Федерации и мест ее пересечения.</w:t>
      </w:r>
    </w:p>
    <w:p>
      <w:pPr>
        <w:pStyle w:val="Normal"/>
        <w:spacing w:lineRule="auto" w:line="312"/>
        <w:ind w:left="0" w:right="0" w:firstLine="709"/>
        <w:jc w:val="both"/>
        <w:rPr>
          <w:color w:val="000000"/>
          <w:sz w:val="28"/>
        </w:rPr>
      </w:pPr>
      <w:r>
        <w:rPr>
          <w:color w:val="000000"/>
          <w:sz w:val="28"/>
        </w:rPr>
        <w:t xml:space="preserve">Министерство транспорта Российской Федерации в установленном порядке организует проведение переговоров </w:t>
        <w:br/>
        <w:t>и заключение международных договоров в установленной сфере деятельности.</w:t>
      </w:r>
    </w:p>
    <w:p>
      <w:pPr>
        <w:pStyle w:val="Normal"/>
        <w:spacing w:lineRule="auto" w:line="312"/>
        <w:ind w:left="0" w:right="0" w:firstLine="709"/>
        <w:jc w:val="both"/>
        <w:rPr>
          <w:color w:val="000000"/>
          <w:sz w:val="28"/>
        </w:rPr>
      </w:pPr>
      <w:r>
        <w:rPr>
          <w:color w:val="000000"/>
          <w:sz w:val="28"/>
        </w:rPr>
      </w:r>
    </w:p>
    <w:p>
      <w:pPr>
        <w:pStyle w:val="Normal"/>
        <w:spacing w:lineRule="auto" w:line="312"/>
        <w:ind w:left="0" w:right="0" w:firstLine="709"/>
        <w:jc w:val="both"/>
        <w:rPr/>
      </w:pPr>
      <w:bookmarkStart w:id="0" w:name="sub_110131"/>
      <w:bookmarkEnd w:id="0"/>
      <w:r>
        <w:rPr>
          <w:color w:val="000000"/>
          <w:sz w:val="28"/>
        </w:rPr>
        <w:t xml:space="preserve">Министерство транспорта Российской Федерации осуществляет координацию и контроль деятельности подведомственных ему </w:t>
      </w:r>
      <w:hyperlink r:id="rId2">
        <w:r>
          <w:rPr>
            <w:color w:val="000000"/>
            <w:sz w:val="28"/>
          </w:rPr>
          <w:t>Федеральной службы по надзору в сфере транспорта</w:t>
        </w:r>
      </w:hyperlink>
      <w:r>
        <w:rPr>
          <w:color w:val="000000"/>
          <w:sz w:val="28"/>
        </w:rPr>
        <w:t xml:space="preserve">, </w:t>
      </w:r>
      <w:hyperlink r:id="rId3">
        <w:r>
          <w:rPr>
            <w:color w:val="000000"/>
            <w:sz w:val="28"/>
          </w:rPr>
          <w:t>Федерального агентства воздушного транспорта</w:t>
        </w:r>
      </w:hyperlink>
      <w:r>
        <w:rPr>
          <w:color w:val="000000"/>
          <w:sz w:val="28"/>
        </w:rPr>
        <w:t xml:space="preserve">, </w:t>
      </w:r>
      <w:hyperlink r:id="rId4">
        <w:r>
          <w:rPr>
            <w:color w:val="000000"/>
            <w:sz w:val="28"/>
          </w:rPr>
          <w:t>Федерального дорожного агентства</w:t>
        </w:r>
      </w:hyperlink>
      <w:r>
        <w:rPr>
          <w:color w:val="000000"/>
          <w:sz w:val="28"/>
        </w:rPr>
        <w:t xml:space="preserve">, </w:t>
      </w:r>
      <w:hyperlink r:id="rId5">
        <w:r>
          <w:rPr>
            <w:color w:val="000000"/>
            <w:sz w:val="28"/>
          </w:rPr>
          <w:t>Федерального агентства железнодорожного транспорта</w:t>
        </w:r>
      </w:hyperlink>
      <w:r>
        <w:rPr>
          <w:color w:val="000000"/>
          <w:sz w:val="28"/>
        </w:rPr>
        <w:t xml:space="preserve"> и </w:t>
      </w:r>
      <w:hyperlink r:id="rId6">
        <w:r>
          <w:rPr>
            <w:color w:val="000000"/>
            <w:sz w:val="28"/>
          </w:rPr>
          <w:t>Федерального агентства морского и речного транспорта</w:t>
        </w:r>
      </w:hyperlink>
      <w:r>
        <w:rPr>
          <w:color w:val="000000"/>
          <w:sz w:val="28"/>
        </w:rPr>
        <w:t>.</w:t>
      </w:r>
    </w:p>
    <w:p>
      <w:pPr>
        <w:pStyle w:val="Normal"/>
        <w:spacing w:lineRule="auto" w:line="312"/>
        <w:ind w:left="0" w:right="0" w:firstLine="709"/>
        <w:jc w:val="both"/>
        <w:rPr>
          <w:color w:val="000000"/>
          <w:sz w:val="28"/>
        </w:rPr>
      </w:pPr>
      <w:r>
        <w:rPr>
          <w:color w:val="000000"/>
          <w:sz w:val="28"/>
        </w:rPr>
      </w:r>
    </w:p>
    <w:p>
      <w:pPr>
        <w:pStyle w:val="Normal"/>
        <w:spacing w:lineRule="auto" w:line="312"/>
        <w:ind w:left="0" w:right="0" w:firstLine="709"/>
        <w:jc w:val="both"/>
        <w:rPr>
          <w:b/>
          <w:b/>
          <w:color w:val="000000"/>
          <w:sz w:val="28"/>
        </w:rPr>
      </w:pPr>
      <w:r>
        <w:rPr>
          <w:b/>
          <w:color w:val="000000"/>
          <w:sz w:val="28"/>
        </w:rPr>
        <w:t>II. Сведения о целях и показателях деятельности федерального органа исполнительной власти в рамках реализации государственной политики в закрепленной сфере ведения в планируемый период (в количественных показателях и качественных характеристиках)</w:t>
      </w:r>
    </w:p>
    <w:p>
      <w:pPr>
        <w:pStyle w:val="Normal"/>
        <w:spacing w:lineRule="auto" w:line="312" w:before="114" w:after="114"/>
        <w:ind w:left="0" w:right="0" w:firstLine="709"/>
        <w:jc w:val="center"/>
        <w:rPr>
          <w:b/>
          <w:b/>
          <w:color w:val="000000"/>
          <w:sz w:val="28"/>
        </w:rPr>
      </w:pPr>
      <w:r>
        <w:rPr>
          <w:b/>
          <w:color w:val="000000"/>
          <w:sz w:val="28"/>
        </w:rPr>
        <w:t>Цели Министерства транспорта Российской Федерации</w:t>
      </w:r>
    </w:p>
    <w:p>
      <w:pPr>
        <w:pStyle w:val="ListParagraph1"/>
        <w:numPr>
          <w:ilvl w:val="0"/>
          <w:numId w:val="1"/>
        </w:numPr>
        <w:spacing w:lineRule="auto" w:line="312"/>
        <w:ind w:left="0" w:right="0" w:firstLine="709"/>
        <w:jc w:val="both"/>
        <w:rPr/>
      </w:pPr>
      <w:r>
        <w:rPr>
          <w:color w:val="000000"/>
          <w:sz w:val="28"/>
        </w:rPr>
        <w:t xml:space="preserve">Ускорение товародвижения на основе повышения индекса качества транспортной инфраструктуры </w:t>
        <w:br/>
        <w:t>на 15,5 процента относительно уровня 2017 года</w:t>
      </w:r>
      <w:r>
        <w:rPr>
          <w:rStyle w:val="Style10"/>
          <w:color w:val="000000"/>
          <w:sz w:val="28"/>
        </w:rPr>
        <w:footnoteReference w:id="2"/>
      </w:r>
      <w:r>
        <w:rPr>
          <w:color w:val="000000"/>
          <w:sz w:val="28"/>
        </w:rPr>
        <w:t>.</w:t>
      </w:r>
    </w:p>
    <w:tbl>
      <w:tblPr>
        <w:tblW w:w="15026" w:type="dxa"/>
        <w:jc w:val="left"/>
        <w:tblInd w:w="108" w:type="dxa"/>
        <w:tblLayout w:type="fixed"/>
        <w:tblCellMar>
          <w:top w:w="0" w:type="dxa"/>
          <w:left w:w="108" w:type="dxa"/>
          <w:bottom w:w="0" w:type="dxa"/>
          <w:right w:w="108" w:type="dxa"/>
        </w:tblCellMar>
      </w:tblPr>
      <w:tblGrid>
        <w:gridCol w:w="8788"/>
        <w:gridCol w:w="992"/>
        <w:gridCol w:w="1133"/>
        <w:gridCol w:w="852"/>
        <w:gridCol w:w="993"/>
        <w:gridCol w:w="1276"/>
        <w:gridCol w:w="991"/>
      </w:tblGrid>
      <w:tr>
        <w:trPr>
          <w:trHeight w:val="430" w:hRule="atLeast"/>
        </w:trPr>
        <w:tc>
          <w:tcPr>
            <w:tcW w:w="8788" w:type="dxa"/>
            <w:tcBorders/>
            <w:vAlign w:val="center"/>
          </w:tcPr>
          <w:p>
            <w:pPr>
              <w:pStyle w:val="Normal"/>
              <w:widowControl w:val="false"/>
              <w:spacing w:lineRule="auto" w:line="312"/>
              <w:jc w:val="center"/>
              <w:rPr>
                <w:sz w:val="28"/>
              </w:rPr>
            </w:pPr>
            <w:r>
              <w:rPr>
                <w:sz w:val="28"/>
              </w:rPr>
              <w:t>Показатель</w:t>
            </w:r>
          </w:p>
        </w:tc>
        <w:tc>
          <w:tcPr>
            <w:tcW w:w="992" w:type="dxa"/>
            <w:tcBorders/>
            <w:vAlign w:val="center"/>
          </w:tcPr>
          <w:p>
            <w:pPr>
              <w:pStyle w:val="Normal"/>
              <w:widowControl w:val="false"/>
              <w:jc w:val="center"/>
              <w:rPr>
                <w:sz w:val="28"/>
              </w:rPr>
            </w:pPr>
            <w:r>
              <w:rPr>
                <w:sz w:val="28"/>
              </w:rPr>
              <w:t>2019</w:t>
            </w:r>
          </w:p>
        </w:tc>
        <w:tc>
          <w:tcPr>
            <w:tcW w:w="1133" w:type="dxa"/>
            <w:tcBorders/>
            <w:vAlign w:val="center"/>
          </w:tcPr>
          <w:p>
            <w:pPr>
              <w:pStyle w:val="Normal"/>
              <w:widowControl w:val="false"/>
              <w:jc w:val="center"/>
              <w:rPr>
                <w:sz w:val="28"/>
              </w:rPr>
            </w:pPr>
            <w:r>
              <w:rPr>
                <w:sz w:val="28"/>
              </w:rPr>
              <w:t>2020</w:t>
            </w:r>
          </w:p>
        </w:tc>
        <w:tc>
          <w:tcPr>
            <w:tcW w:w="852" w:type="dxa"/>
            <w:tcBorders/>
            <w:vAlign w:val="center"/>
          </w:tcPr>
          <w:p>
            <w:pPr>
              <w:pStyle w:val="Normal"/>
              <w:widowControl w:val="false"/>
              <w:jc w:val="center"/>
              <w:rPr>
                <w:sz w:val="28"/>
              </w:rPr>
            </w:pPr>
            <w:r>
              <w:rPr>
                <w:sz w:val="28"/>
              </w:rPr>
              <w:t>2021</w:t>
            </w:r>
          </w:p>
        </w:tc>
        <w:tc>
          <w:tcPr>
            <w:tcW w:w="993" w:type="dxa"/>
            <w:tcBorders/>
            <w:vAlign w:val="center"/>
          </w:tcPr>
          <w:p>
            <w:pPr>
              <w:pStyle w:val="Normal"/>
              <w:widowControl w:val="false"/>
              <w:jc w:val="center"/>
              <w:rPr>
                <w:sz w:val="28"/>
              </w:rPr>
            </w:pPr>
            <w:r>
              <w:rPr>
                <w:sz w:val="28"/>
              </w:rPr>
              <w:t>2022</w:t>
            </w:r>
          </w:p>
        </w:tc>
        <w:tc>
          <w:tcPr>
            <w:tcW w:w="1276" w:type="dxa"/>
            <w:tcBorders/>
            <w:vAlign w:val="center"/>
          </w:tcPr>
          <w:p>
            <w:pPr>
              <w:pStyle w:val="Normal"/>
              <w:widowControl w:val="false"/>
              <w:jc w:val="center"/>
              <w:rPr>
                <w:sz w:val="28"/>
              </w:rPr>
            </w:pPr>
            <w:r>
              <w:rPr>
                <w:sz w:val="28"/>
              </w:rPr>
              <w:t>2023</w:t>
            </w:r>
          </w:p>
        </w:tc>
        <w:tc>
          <w:tcPr>
            <w:tcW w:w="991" w:type="dxa"/>
            <w:tcBorders/>
            <w:vAlign w:val="center"/>
          </w:tcPr>
          <w:p>
            <w:pPr>
              <w:pStyle w:val="Normal"/>
              <w:widowControl w:val="false"/>
              <w:jc w:val="center"/>
              <w:rPr>
                <w:sz w:val="28"/>
              </w:rPr>
            </w:pPr>
            <w:r>
              <w:rPr>
                <w:sz w:val="28"/>
              </w:rPr>
              <w:t>2024</w:t>
            </w:r>
          </w:p>
        </w:tc>
      </w:tr>
      <w:tr>
        <w:trPr>
          <w:trHeight w:val="633" w:hRule="atLeast"/>
        </w:trPr>
        <w:tc>
          <w:tcPr>
            <w:tcW w:w="8788" w:type="dxa"/>
            <w:tcBorders/>
            <w:vAlign w:val="center"/>
          </w:tcPr>
          <w:p>
            <w:pPr>
              <w:pStyle w:val="Normal"/>
              <w:widowControl w:val="false"/>
              <w:rPr>
                <w:sz w:val="28"/>
              </w:rPr>
            </w:pPr>
            <w:r>
              <w:rPr>
                <w:sz w:val="28"/>
              </w:rPr>
              <w:t>Индекс качества транспортной инфраструктуры относительно уровня 2017 года, %</w:t>
            </w:r>
            <w:r>
              <w:rPr>
                <w:rStyle w:val="Style10"/>
                <w:sz w:val="28"/>
              </w:rPr>
              <w:footnoteReference w:id="3"/>
            </w:r>
          </w:p>
        </w:tc>
        <w:tc>
          <w:tcPr>
            <w:tcW w:w="992" w:type="dxa"/>
            <w:tcBorders/>
            <w:vAlign w:val="center"/>
          </w:tcPr>
          <w:p>
            <w:pPr>
              <w:pStyle w:val="Normal"/>
              <w:widowControl w:val="false"/>
              <w:jc w:val="center"/>
              <w:rPr>
                <w:sz w:val="28"/>
              </w:rPr>
            </w:pPr>
            <w:r>
              <w:rPr>
                <w:sz w:val="28"/>
              </w:rPr>
              <w:t>101,7</w:t>
            </w:r>
          </w:p>
        </w:tc>
        <w:tc>
          <w:tcPr>
            <w:tcW w:w="1133" w:type="dxa"/>
            <w:tcBorders/>
            <w:vAlign w:val="center"/>
          </w:tcPr>
          <w:p>
            <w:pPr>
              <w:pStyle w:val="Normal"/>
              <w:widowControl w:val="false"/>
              <w:jc w:val="center"/>
              <w:rPr>
                <w:sz w:val="28"/>
              </w:rPr>
            </w:pPr>
            <w:r>
              <w:rPr>
                <w:sz w:val="28"/>
              </w:rPr>
              <w:t>102,2</w:t>
            </w:r>
          </w:p>
        </w:tc>
        <w:tc>
          <w:tcPr>
            <w:tcW w:w="852" w:type="dxa"/>
            <w:tcBorders/>
            <w:vAlign w:val="center"/>
          </w:tcPr>
          <w:p>
            <w:pPr>
              <w:pStyle w:val="Normal"/>
              <w:widowControl w:val="false"/>
              <w:jc w:val="center"/>
              <w:rPr>
                <w:sz w:val="28"/>
              </w:rPr>
            </w:pPr>
            <w:r>
              <w:rPr>
                <w:sz w:val="28"/>
              </w:rPr>
              <w:t>103,5</w:t>
            </w:r>
          </w:p>
        </w:tc>
        <w:tc>
          <w:tcPr>
            <w:tcW w:w="993" w:type="dxa"/>
            <w:tcBorders/>
            <w:vAlign w:val="center"/>
          </w:tcPr>
          <w:p>
            <w:pPr>
              <w:pStyle w:val="Normal"/>
              <w:widowControl w:val="false"/>
              <w:jc w:val="center"/>
              <w:rPr>
                <w:sz w:val="28"/>
              </w:rPr>
            </w:pPr>
            <w:r>
              <w:rPr>
                <w:sz w:val="28"/>
              </w:rPr>
            </w:r>
          </w:p>
        </w:tc>
        <w:tc>
          <w:tcPr>
            <w:tcW w:w="1276" w:type="dxa"/>
            <w:tcBorders/>
            <w:vAlign w:val="center"/>
          </w:tcPr>
          <w:p>
            <w:pPr>
              <w:pStyle w:val="Normal"/>
              <w:widowControl w:val="false"/>
              <w:jc w:val="center"/>
              <w:rPr>
                <w:sz w:val="28"/>
              </w:rPr>
            </w:pPr>
            <w:r>
              <w:rPr>
                <w:sz w:val="28"/>
              </w:rPr>
            </w:r>
          </w:p>
        </w:tc>
        <w:tc>
          <w:tcPr>
            <w:tcW w:w="991" w:type="dxa"/>
            <w:tcBorders/>
            <w:vAlign w:val="center"/>
          </w:tcPr>
          <w:p>
            <w:pPr>
              <w:pStyle w:val="Normal"/>
              <w:widowControl w:val="false"/>
              <w:jc w:val="center"/>
              <w:rPr>
                <w:sz w:val="28"/>
              </w:rPr>
            </w:pPr>
            <w:r>
              <w:rPr>
                <w:sz w:val="28"/>
              </w:rPr>
            </w:r>
          </w:p>
        </w:tc>
      </w:tr>
      <w:tr>
        <w:trPr>
          <w:trHeight w:val="633" w:hRule="atLeast"/>
        </w:trPr>
        <w:tc>
          <w:tcPr>
            <w:tcW w:w="8788" w:type="dxa"/>
            <w:tcBorders/>
            <w:vAlign w:val="center"/>
          </w:tcPr>
          <w:p>
            <w:pPr>
              <w:pStyle w:val="Normal"/>
              <w:widowControl w:val="false"/>
              <w:suppressAutoHyphens w:val="true"/>
              <w:overflowPunct w:val="true"/>
              <w:bidi w:val="0"/>
              <w:spacing w:lineRule="auto" w:line="240" w:before="0" w:after="0"/>
              <w:ind w:left="0" w:right="-113" w:hanging="0"/>
              <w:jc w:val="left"/>
              <w:rPr>
                <w:sz w:val="28"/>
              </w:rPr>
            </w:pPr>
            <w:r>
              <w:rPr>
                <w:sz w:val="28"/>
              </w:rPr>
              <w:t>Индекс качества транспортной инфраструктуры к уровню 2021 года, %</w:t>
            </w:r>
            <w:r>
              <w:rPr>
                <w:sz w:val="28"/>
                <w:vertAlign w:val="superscript"/>
              </w:rPr>
              <w:t>2</w:t>
            </w:r>
          </w:p>
        </w:tc>
        <w:tc>
          <w:tcPr>
            <w:tcW w:w="992" w:type="dxa"/>
            <w:tcBorders/>
            <w:vAlign w:val="center"/>
          </w:tcPr>
          <w:p>
            <w:pPr>
              <w:pStyle w:val="Normal"/>
              <w:widowControl w:val="false"/>
              <w:jc w:val="center"/>
              <w:rPr>
                <w:sz w:val="28"/>
              </w:rPr>
            </w:pPr>
            <w:r>
              <w:rPr>
                <w:sz w:val="28"/>
              </w:rPr>
            </w:r>
          </w:p>
        </w:tc>
        <w:tc>
          <w:tcPr>
            <w:tcW w:w="1133" w:type="dxa"/>
            <w:tcBorders/>
            <w:vAlign w:val="center"/>
          </w:tcPr>
          <w:p>
            <w:pPr>
              <w:pStyle w:val="Normal"/>
              <w:widowControl w:val="false"/>
              <w:jc w:val="center"/>
              <w:rPr>
                <w:sz w:val="28"/>
              </w:rPr>
            </w:pPr>
            <w:r>
              <w:rPr>
                <w:sz w:val="28"/>
              </w:rPr>
            </w:r>
          </w:p>
        </w:tc>
        <w:tc>
          <w:tcPr>
            <w:tcW w:w="852" w:type="dxa"/>
            <w:tcBorders/>
            <w:vAlign w:val="center"/>
          </w:tcPr>
          <w:p>
            <w:pPr>
              <w:pStyle w:val="Normal"/>
              <w:widowControl w:val="false"/>
              <w:jc w:val="center"/>
              <w:rPr>
                <w:sz w:val="28"/>
              </w:rPr>
            </w:pPr>
            <w:r>
              <w:rPr>
                <w:sz w:val="28"/>
              </w:rPr>
            </w:r>
          </w:p>
        </w:tc>
        <w:tc>
          <w:tcPr>
            <w:tcW w:w="993" w:type="dxa"/>
            <w:tcBorders/>
            <w:vAlign w:val="center"/>
          </w:tcPr>
          <w:p>
            <w:pPr>
              <w:pStyle w:val="Normal"/>
              <w:widowControl w:val="false"/>
              <w:jc w:val="center"/>
              <w:rPr>
                <w:sz w:val="28"/>
              </w:rPr>
            </w:pPr>
            <w:r>
              <w:rPr>
                <w:sz w:val="28"/>
              </w:rPr>
              <w:t>101,2</w:t>
            </w:r>
          </w:p>
        </w:tc>
        <w:tc>
          <w:tcPr>
            <w:tcW w:w="1276" w:type="dxa"/>
            <w:tcBorders/>
            <w:vAlign w:val="center"/>
          </w:tcPr>
          <w:p>
            <w:pPr>
              <w:pStyle w:val="Normal"/>
              <w:widowControl w:val="false"/>
              <w:jc w:val="center"/>
              <w:rPr>
                <w:sz w:val="28"/>
              </w:rPr>
            </w:pPr>
            <w:r>
              <w:rPr>
                <w:sz w:val="28"/>
              </w:rPr>
              <w:t>102,3</w:t>
            </w:r>
          </w:p>
        </w:tc>
        <w:tc>
          <w:tcPr>
            <w:tcW w:w="991" w:type="dxa"/>
            <w:tcBorders/>
            <w:vAlign w:val="center"/>
          </w:tcPr>
          <w:p>
            <w:pPr>
              <w:pStyle w:val="Normal"/>
              <w:widowControl w:val="false"/>
              <w:jc w:val="center"/>
              <w:rPr>
                <w:sz w:val="28"/>
              </w:rPr>
            </w:pPr>
            <w:r>
              <w:rPr>
                <w:sz w:val="28"/>
              </w:rPr>
              <w:t>105,7</w:t>
            </w:r>
          </w:p>
        </w:tc>
      </w:tr>
    </w:tbl>
    <w:p>
      <w:pPr>
        <w:pStyle w:val="ListParagraph1"/>
        <w:widowControl/>
        <w:suppressAutoHyphens w:val="true"/>
        <w:bidi w:val="0"/>
        <w:spacing w:lineRule="auto" w:line="288" w:before="114" w:after="314"/>
        <w:ind w:left="1211" w:right="0" w:hanging="0"/>
        <w:contextualSpacing/>
        <w:jc w:val="both"/>
        <w:rPr>
          <w:sz w:val="12"/>
          <w:szCs w:val="12"/>
        </w:rPr>
      </w:pPr>
      <w:r>
        <w:rPr>
          <w:sz w:val="12"/>
          <w:szCs w:val="12"/>
        </w:rPr>
      </w:r>
    </w:p>
    <w:p>
      <w:pPr>
        <w:pStyle w:val="ListParagraph1"/>
        <w:numPr>
          <w:ilvl w:val="0"/>
          <w:numId w:val="1"/>
        </w:numPr>
        <w:spacing w:lineRule="auto" w:line="288" w:before="0" w:after="143"/>
        <w:ind w:left="0" w:right="0" w:firstLine="709"/>
        <w:contextualSpacing/>
        <w:jc w:val="both"/>
        <w:rPr/>
      </w:pPr>
      <w:r>
        <w:rPr>
          <w:color w:val="000000"/>
          <w:sz w:val="28"/>
        </w:rPr>
        <w:t>Повышение доступности качественных транспортных услуг для обеспечения транспортной подвижности населения на уровне 9,5 тыс. пасс.-км на 1 жителя</w:t>
      </w:r>
      <w:r>
        <w:rPr>
          <w:rStyle w:val="Style10"/>
          <w:color w:val="000000"/>
          <w:sz w:val="28"/>
        </w:rPr>
        <w:footnoteReference w:id="4"/>
      </w:r>
      <w:r>
        <w:rPr>
          <w:color w:val="000000"/>
          <w:sz w:val="28"/>
        </w:rPr>
        <w:t>.</w:t>
      </w:r>
    </w:p>
    <w:tbl>
      <w:tblPr>
        <w:tblW w:w="15026" w:type="dxa"/>
        <w:jc w:val="left"/>
        <w:tblInd w:w="0" w:type="dxa"/>
        <w:tblLayout w:type="fixed"/>
        <w:tblCellMar>
          <w:top w:w="0" w:type="dxa"/>
          <w:left w:w="108" w:type="dxa"/>
          <w:bottom w:w="0" w:type="dxa"/>
          <w:right w:w="108" w:type="dxa"/>
        </w:tblCellMar>
      </w:tblPr>
      <w:tblGrid>
        <w:gridCol w:w="8788"/>
        <w:gridCol w:w="1040"/>
        <w:gridCol w:w="1040"/>
        <w:gridCol w:w="1038"/>
        <w:gridCol w:w="1040"/>
        <w:gridCol w:w="1040"/>
        <w:gridCol w:w="1039"/>
      </w:tblGrid>
      <w:tr>
        <w:trPr>
          <w:trHeight w:val="322" w:hRule="atLeast"/>
        </w:trPr>
        <w:tc>
          <w:tcPr>
            <w:tcW w:w="878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Показатель</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2019</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2020</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2021</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2022</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2023</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2024</w:t>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left"/>
              <w:rPr>
                <w:color w:val="000000"/>
                <w:spacing w:val="0"/>
                <w:kern w:val="0"/>
                <w:sz w:val="28"/>
                <w:szCs w:val="20"/>
              </w:rPr>
            </w:pPr>
            <w:r>
              <w:rPr>
                <w:color w:val="000000"/>
                <w:spacing w:val="0"/>
                <w:kern w:val="0"/>
                <w:sz w:val="28"/>
                <w:szCs w:val="20"/>
              </w:rPr>
              <w:t>Транспортная подвижность населения, тыс. пасс.-км на 1 человека</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8,8</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6,2</w:t>
            </w:r>
          </w:p>
        </w:tc>
        <w:tc>
          <w:tcPr>
            <w:tcW w:w="1038" w:type="dxa"/>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8,0</w:t>
            </w:r>
          </w:p>
        </w:tc>
        <w:tc>
          <w:tcPr>
            <w:tcW w:w="1040" w:type="dxa"/>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8,3</w:t>
            </w:r>
          </w:p>
        </w:tc>
        <w:tc>
          <w:tcPr>
            <w:tcW w:w="1040" w:type="dxa"/>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8,6</w:t>
            </w:r>
          </w:p>
        </w:tc>
        <w:tc>
          <w:tcPr>
            <w:tcW w:w="1039" w:type="dxa"/>
            <w:tcBorders/>
            <w:vAlign w:val="center"/>
          </w:tcPr>
          <w:p>
            <w:pPr>
              <w:pStyle w:val="Normal"/>
              <w:widowControl w:val="false"/>
              <w:suppressAutoHyphens w:val="true"/>
              <w:spacing w:lineRule="auto" w:line="240" w:before="0" w:after="0"/>
              <w:ind w:left="0" w:right="0" w:hanging="0"/>
              <w:jc w:val="center"/>
              <w:rPr>
                <w:sz w:val="28"/>
              </w:rPr>
            </w:pPr>
            <w:r>
              <w:rPr>
                <w:color w:val="000000"/>
                <w:spacing w:val="0"/>
                <w:kern w:val="0"/>
                <w:sz w:val="28"/>
                <w:szCs w:val="20"/>
              </w:rPr>
              <w:t>9,</w:t>
            </w:r>
            <w:r>
              <w:rPr>
                <w:rFonts w:eastAsia="Tahoma" w:cs="Droid Sans Devanagari"/>
                <w:color w:val="000000"/>
                <w:spacing w:val="0"/>
                <w:kern w:val="0"/>
                <w:sz w:val="28"/>
                <w:szCs w:val="20"/>
                <w:lang w:val="ru-RU" w:eastAsia="zh-CN" w:bidi="hi-IN"/>
              </w:rPr>
              <w:t>3</w:t>
            </w:r>
          </w:p>
        </w:tc>
      </w:tr>
    </w:tbl>
    <w:p>
      <w:pPr>
        <w:pStyle w:val="ListParagraph1"/>
        <w:spacing w:lineRule="auto" w:line="312" w:before="171" w:after="371"/>
        <w:ind w:left="1211" w:right="0" w:hanging="0"/>
        <w:contextualSpacing/>
        <w:jc w:val="both"/>
        <w:rPr>
          <w:sz w:val="12"/>
          <w:szCs w:val="12"/>
        </w:rPr>
      </w:pPr>
      <w:r>
        <w:rPr>
          <w:sz w:val="12"/>
          <w:szCs w:val="12"/>
        </w:rPr>
      </w:r>
    </w:p>
    <w:p>
      <w:pPr>
        <w:pStyle w:val="ListParagraph1"/>
        <w:numPr>
          <w:ilvl w:val="0"/>
          <w:numId w:val="1"/>
        </w:numPr>
        <w:spacing w:lineRule="auto" w:line="312" w:before="171" w:after="371"/>
        <w:ind w:left="0" w:right="0" w:firstLine="709"/>
        <w:contextualSpacing/>
        <w:jc w:val="both"/>
        <w:rPr/>
      </w:pPr>
      <w:r>
        <w:rPr>
          <w:color w:val="000000"/>
          <w:sz w:val="28"/>
        </w:rPr>
        <w:t>Повышение конкурентоспособности транспортной системы России на мировом рынке транспортных услуг</w:t>
        <w:br/>
        <w:t>и рост экспорта услуг транспортного комплекса до 20,5 млрд. долларов США</w:t>
      </w:r>
      <w:r>
        <w:rPr>
          <w:rStyle w:val="Style10"/>
          <w:color w:val="000000"/>
          <w:sz w:val="28"/>
        </w:rPr>
        <w:footnoteReference w:id="5"/>
      </w:r>
      <w:r>
        <w:rPr>
          <w:color w:val="000000"/>
          <w:sz w:val="28"/>
        </w:rPr>
        <w:t>.</w:t>
      </w:r>
    </w:p>
    <w:tbl>
      <w:tblPr>
        <w:tblW w:w="15026" w:type="dxa"/>
        <w:jc w:val="left"/>
        <w:tblInd w:w="0" w:type="dxa"/>
        <w:tblLayout w:type="fixed"/>
        <w:tblCellMar>
          <w:top w:w="0" w:type="dxa"/>
          <w:left w:w="108" w:type="dxa"/>
          <w:bottom w:w="0" w:type="dxa"/>
          <w:right w:w="108" w:type="dxa"/>
        </w:tblCellMar>
      </w:tblPr>
      <w:tblGrid>
        <w:gridCol w:w="8788"/>
        <w:gridCol w:w="1040"/>
        <w:gridCol w:w="1040"/>
        <w:gridCol w:w="1038"/>
        <w:gridCol w:w="1040"/>
        <w:gridCol w:w="1040"/>
        <w:gridCol w:w="1039"/>
      </w:tblGrid>
      <w:tr>
        <w:trPr>
          <w:trHeight w:val="430" w:hRule="atLeast"/>
        </w:trPr>
        <w:tc>
          <w:tcPr>
            <w:tcW w:w="878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Показатель</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2019</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2020</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2021</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2022</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2023</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2024</w:t>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left"/>
              <w:rPr>
                <w:sz w:val="28"/>
              </w:rPr>
            </w:pPr>
            <w:r>
              <w:rPr>
                <w:color w:val="000000"/>
                <w:spacing w:val="0"/>
                <w:kern w:val="0"/>
                <w:sz w:val="28"/>
                <w:szCs w:val="20"/>
              </w:rPr>
              <w:t>Экспорт транспортных услуг, млрд. доллар США</w:t>
            </w:r>
            <w:r>
              <w:rPr>
                <w:rStyle w:val="Style10"/>
                <w:color w:val="000000"/>
                <w:spacing w:val="0"/>
                <w:kern w:val="0"/>
                <w:sz w:val="28"/>
                <w:szCs w:val="20"/>
              </w:rPr>
              <w:footnoteReference w:id="6"/>
            </w:r>
          </w:p>
        </w:tc>
        <w:tc>
          <w:tcPr>
            <w:tcW w:w="1040"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18,5</w:t>
            </w:r>
          </w:p>
        </w:tc>
        <w:tc>
          <w:tcPr>
            <w:tcW w:w="1040"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11,7</w:t>
            </w:r>
          </w:p>
        </w:tc>
        <w:tc>
          <w:tcPr>
            <w:tcW w:w="1038" w:type="dxa"/>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13,6</w:t>
            </w:r>
          </w:p>
        </w:tc>
        <w:tc>
          <w:tcPr>
            <w:tcW w:w="1040"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39"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left"/>
              <w:rPr>
                <w:sz w:val="28"/>
              </w:rPr>
            </w:pPr>
            <w:r>
              <w:rPr>
                <w:rFonts w:eastAsia="Tahoma" w:cs="Droid Sans Devanagari"/>
                <w:color w:val="000000"/>
                <w:spacing w:val="0"/>
                <w:kern w:val="0"/>
                <w:sz w:val="28"/>
                <w:szCs w:val="20"/>
                <w:lang w:val="ru-RU" w:eastAsia="zh-CN" w:bidi="hi-IN"/>
              </w:rPr>
              <w:t>Объем экспорта услуг транспортного комплекса</w:t>
            </w:r>
            <w:r>
              <w:rPr>
                <w:color w:val="000000"/>
                <w:spacing w:val="0"/>
                <w:kern w:val="0"/>
                <w:sz w:val="28"/>
                <w:szCs w:val="20"/>
              </w:rPr>
              <w:t>, млрд. доллар США</w:t>
            </w:r>
            <w:r>
              <w:rPr>
                <w:rFonts w:eastAsia="Tahoma" w:cs="Droid Sans Devanagari"/>
                <w:color w:val="000000"/>
                <w:spacing w:val="0"/>
                <w:kern w:val="0"/>
                <w:sz w:val="28"/>
                <w:szCs w:val="20"/>
                <w:vertAlign w:val="superscript"/>
                <w:lang w:val="ru-RU" w:eastAsia="zh-CN" w:bidi="hi-IN"/>
              </w:rPr>
              <w:t>5</w:t>
            </w:r>
          </w:p>
        </w:tc>
        <w:tc>
          <w:tcPr>
            <w:tcW w:w="1040"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38" w:type="dxa"/>
            <w:tcBorders/>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15,9</w:t>
            </w:r>
          </w:p>
        </w:tc>
        <w:tc>
          <w:tcPr>
            <w:tcW w:w="1040" w:type="dxa"/>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17,6</w:t>
            </w:r>
          </w:p>
        </w:tc>
        <w:tc>
          <w:tcPr>
            <w:tcW w:w="1039" w:type="dxa"/>
            <w:tcBorders/>
          </w:tcPr>
          <w:p>
            <w:pPr>
              <w:pStyle w:val="Normal"/>
              <w:widowControl w:val="false"/>
              <w:suppressAutoHyphens w:val="true"/>
              <w:spacing w:lineRule="auto" w:line="240" w:before="0" w:after="0"/>
              <w:ind w:left="0" w:right="0" w:hanging="0"/>
              <w:jc w:val="center"/>
              <w:rPr>
                <w:sz w:val="28"/>
              </w:rPr>
            </w:pPr>
            <w:r>
              <w:rPr>
                <w:color w:val="000000"/>
                <w:spacing w:val="0"/>
                <w:kern w:val="0"/>
                <w:sz w:val="28"/>
                <w:szCs w:val="20"/>
              </w:rPr>
              <w:t>22,</w:t>
            </w:r>
            <w:r>
              <w:rPr>
                <w:rFonts w:eastAsia="Tahoma" w:cs="Droid Sans Devanagari"/>
                <w:color w:val="000000"/>
                <w:spacing w:val="0"/>
                <w:kern w:val="0"/>
                <w:sz w:val="28"/>
                <w:szCs w:val="20"/>
                <w:lang w:val="ru-RU" w:eastAsia="zh-CN" w:bidi="hi-IN"/>
              </w:rPr>
              <w:t>0</w:t>
            </w:r>
          </w:p>
        </w:tc>
      </w:tr>
    </w:tbl>
    <w:p>
      <w:pPr>
        <w:pStyle w:val="ListParagraph1"/>
        <w:spacing w:lineRule="auto" w:line="312"/>
        <w:ind w:left="709" w:right="0" w:hanging="0"/>
        <w:jc w:val="both"/>
        <w:rPr>
          <w:color w:val="000000"/>
          <w:sz w:val="16"/>
        </w:rPr>
      </w:pPr>
      <w:r>
        <w:rPr>
          <w:color w:val="000000"/>
          <w:sz w:val="16"/>
        </w:rPr>
      </w:r>
    </w:p>
    <w:p>
      <w:pPr>
        <w:pStyle w:val="ListParagraph1"/>
        <w:numPr>
          <w:ilvl w:val="0"/>
          <w:numId w:val="1"/>
        </w:numPr>
        <w:spacing w:lineRule="auto" w:line="312"/>
        <w:ind w:left="0" w:right="0" w:firstLine="709"/>
        <w:jc w:val="both"/>
        <w:rPr/>
      </w:pPr>
      <w:r>
        <w:rPr>
          <w:color w:val="000000"/>
          <w:sz w:val="28"/>
        </w:rPr>
        <w:t>Повышение комплексной безопасности и устойчивости транспортной системы с целью сокращения числа происшествий на транспорте на единицу транспортных средств на 15 процентов относительно уровня 2017 года</w:t>
      </w:r>
      <w:r>
        <w:rPr>
          <w:rStyle w:val="Style10"/>
          <w:color w:val="000000"/>
          <w:sz w:val="28"/>
        </w:rPr>
        <w:footnoteReference w:id="7"/>
      </w:r>
      <w:r>
        <w:rPr>
          <w:color w:val="000000"/>
          <w:sz w:val="28"/>
        </w:rPr>
        <w:t xml:space="preserve">. </w:t>
      </w:r>
    </w:p>
    <w:tbl>
      <w:tblPr>
        <w:tblW w:w="15026" w:type="dxa"/>
        <w:jc w:val="left"/>
        <w:tblInd w:w="0" w:type="dxa"/>
        <w:tblLayout w:type="fixed"/>
        <w:tblCellMar>
          <w:top w:w="0" w:type="dxa"/>
          <w:left w:w="108" w:type="dxa"/>
          <w:bottom w:w="0" w:type="dxa"/>
          <w:right w:w="108" w:type="dxa"/>
        </w:tblCellMar>
      </w:tblPr>
      <w:tblGrid>
        <w:gridCol w:w="8788"/>
        <w:gridCol w:w="1040"/>
        <w:gridCol w:w="1040"/>
        <w:gridCol w:w="1038"/>
        <w:gridCol w:w="1040"/>
        <w:gridCol w:w="1040"/>
        <w:gridCol w:w="1039"/>
      </w:tblGrid>
      <w:tr>
        <w:trPr>
          <w:trHeight w:val="430" w:hRule="atLeast"/>
        </w:trPr>
        <w:tc>
          <w:tcPr>
            <w:tcW w:w="8788" w:type="dxa"/>
            <w:tcBorders/>
            <w:vAlign w:val="center"/>
          </w:tcPr>
          <w:p>
            <w:pPr>
              <w:pStyle w:val="Normal"/>
              <w:widowControl w:val="false"/>
              <w:suppressAutoHyphens w:val="true"/>
              <w:spacing w:lineRule="auto" w:line="312" w:before="0" w:after="0"/>
              <w:ind w:left="-108" w:right="0" w:hanging="0"/>
              <w:jc w:val="center"/>
              <w:rPr>
                <w:color w:val="000000"/>
                <w:spacing w:val="0"/>
                <w:kern w:val="0"/>
                <w:sz w:val="28"/>
                <w:szCs w:val="20"/>
              </w:rPr>
            </w:pPr>
            <w:r>
              <w:rPr>
                <w:color w:val="000000"/>
                <w:spacing w:val="0"/>
                <w:kern w:val="0"/>
                <w:sz w:val="28"/>
                <w:szCs w:val="20"/>
              </w:rPr>
              <w:t>Показатель</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2019</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2020</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2021</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2022</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2023</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2024</w:t>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left"/>
              <w:rPr>
                <w:color w:val="000000"/>
                <w:spacing w:val="0"/>
                <w:kern w:val="0"/>
                <w:sz w:val="28"/>
                <w:szCs w:val="20"/>
              </w:rPr>
            </w:pPr>
            <w:r>
              <w:rPr>
                <w:color w:val="000000"/>
                <w:spacing w:val="0"/>
                <w:kern w:val="0"/>
                <w:sz w:val="28"/>
                <w:szCs w:val="20"/>
              </w:rPr>
              <w:t>Число происшествий на транспорте на единицу транспортных средств относительно уровня 2017 года, %</w:t>
            </w:r>
            <w:r>
              <w:rPr>
                <w:rStyle w:val="Style10"/>
                <w:color w:val="000000"/>
                <w:spacing w:val="0"/>
                <w:kern w:val="0"/>
                <w:sz w:val="28"/>
                <w:szCs w:val="20"/>
              </w:rPr>
              <w:footnoteReference w:id="8"/>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96,0</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94,0</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91,0</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left"/>
              <w:rPr>
                <w:sz w:val="28"/>
              </w:rPr>
            </w:pPr>
            <w:r>
              <w:rPr>
                <w:color w:val="000000"/>
                <w:spacing w:val="0"/>
                <w:kern w:val="0"/>
                <w:sz w:val="28"/>
                <w:szCs w:val="20"/>
              </w:rPr>
              <w:t>Число происшествий на транспорте на единицу транспортных средств (% к 2021 году), %</w:t>
            </w:r>
            <w:r>
              <w:rPr>
                <w:color w:val="000000"/>
                <w:spacing w:val="0"/>
                <w:kern w:val="0"/>
                <w:sz w:val="28"/>
                <w:szCs w:val="20"/>
                <w:vertAlign w:val="superscript"/>
              </w:rPr>
              <w:t>7</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97,8</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95,6</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93,4</w:t>
            </w:r>
          </w:p>
        </w:tc>
      </w:tr>
    </w:tbl>
    <w:p>
      <w:pPr>
        <w:pStyle w:val="ListParagraph1"/>
        <w:widowControl/>
        <w:suppressAutoHyphens w:val="true"/>
        <w:bidi w:val="0"/>
        <w:spacing w:lineRule="auto" w:line="312" w:before="0" w:after="200"/>
        <w:ind w:left="1211" w:right="0" w:hanging="0"/>
        <w:contextualSpacing/>
        <w:jc w:val="both"/>
        <w:rPr>
          <w:sz w:val="12"/>
          <w:szCs w:val="12"/>
        </w:rPr>
      </w:pPr>
      <w:r>
        <w:rPr>
          <w:sz w:val="12"/>
          <w:szCs w:val="12"/>
        </w:rPr>
      </w:r>
    </w:p>
    <w:p>
      <w:pPr>
        <w:pStyle w:val="ListParagraph1"/>
        <w:numPr>
          <w:ilvl w:val="0"/>
          <w:numId w:val="1"/>
        </w:numPr>
        <w:spacing w:lineRule="auto" w:line="312"/>
        <w:ind w:left="0" w:right="0" w:firstLine="709"/>
        <w:jc w:val="both"/>
        <w:rPr/>
      </w:pPr>
      <w:r>
        <w:rPr>
          <w:color w:val="000000"/>
          <w:sz w:val="28"/>
        </w:rPr>
        <w:t>Доведение доли автомобильных дорог регионального значения, соответствующих нормативным требованиям, до 50,9 процента</w:t>
      </w:r>
      <w:r>
        <w:rPr>
          <w:rStyle w:val="Style10"/>
          <w:color w:val="000000"/>
          <w:sz w:val="28"/>
        </w:rPr>
        <w:footnoteReference w:id="9"/>
      </w:r>
      <w:r>
        <w:rPr>
          <w:color w:val="000000"/>
          <w:sz w:val="28"/>
        </w:rPr>
        <w:t>.</w:t>
      </w:r>
    </w:p>
    <w:tbl>
      <w:tblPr>
        <w:tblW w:w="15026" w:type="dxa"/>
        <w:jc w:val="left"/>
        <w:tblInd w:w="0" w:type="dxa"/>
        <w:tblLayout w:type="fixed"/>
        <w:tblCellMar>
          <w:top w:w="0" w:type="dxa"/>
          <w:left w:w="108" w:type="dxa"/>
          <w:bottom w:w="0" w:type="dxa"/>
          <w:right w:w="108" w:type="dxa"/>
        </w:tblCellMar>
      </w:tblPr>
      <w:tblGrid>
        <w:gridCol w:w="8788"/>
        <w:gridCol w:w="1040"/>
        <w:gridCol w:w="1040"/>
        <w:gridCol w:w="1038"/>
        <w:gridCol w:w="1040"/>
        <w:gridCol w:w="1040"/>
        <w:gridCol w:w="1039"/>
      </w:tblGrid>
      <w:tr>
        <w:trPr>
          <w:trHeight w:val="430" w:hRule="atLeast"/>
        </w:trPr>
        <w:tc>
          <w:tcPr>
            <w:tcW w:w="8788" w:type="dxa"/>
            <w:tcBorders/>
            <w:vAlign w:val="center"/>
          </w:tcPr>
          <w:p>
            <w:pPr>
              <w:pStyle w:val="Normal"/>
              <w:widowControl w:val="false"/>
              <w:suppressAutoHyphens w:val="true"/>
              <w:spacing w:lineRule="auto" w:line="312" w:before="0" w:after="0"/>
              <w:ind w:left="-108" w:right="0" w:hanging="0"/>
              <w:jc w:val="center"/>
              <w:rPr>
                <w:color w:val="000000"/>
                <w:spacing w:val="0"/>
                <w:kern w:val="0"/>
                <w:sz w:val="28"/>
                <w:szCs w:val="20"/>
              </w:rPr>
            </w:pPr>
            <w:r>
              <w:rPr>
                <w:color w:val="000000"/>
                <w:spacing w:val="0"/>
                <w:kern w:val="0"/>
                <w:sz w:val="28"/>
                <w:szCs w:val="20"/>
              </w:rPr>
              <w:t>Показатель</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2019</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2020</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2021</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2022</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2023</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2024</w:t>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left"/>
              <w:rPr>
                <w:color w:val="000000"/>
                <w:sz w:val="28"/>
              </w:rPr>
            </w:pPr>
            <w:r>
              <w:rPr>
                <w:color w:val="000000"/>
                <w:spacing w:val="0"/>
                <w:kern w:val="0"/>
                <w:sz w:val="28"/>
                <w:szCs w:val="20"/>
              </w:rPr>
              <w:t>Доля автомобильных дорог регионального значения, соответствующих нормативным требованиям, %</w:t>
            </w:r>
            <w:r>
              <w:rPr>
                <w:rStyle w:val="Style10"/>
                <w:color w:val="000000"/>
                <w:spacing w:val="0"/>
                <w:kern w:val="0"/>
                <w:sz w:val="28"/>
                <w:szCs w:val="20"/>
              </w:rPr>
              <w:footnoteReference w:id="10"/>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44,5</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44,9</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45,8</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left"/>
              <w:rPr>
                <w:sz w:val="28"/>
              </w:rPr>
            </w:pPr>
            <w:r>
              <w:rPr>
                <w:color w:val="000000"/>
                <w:sz w:val="28"/>
              </w:rPr>
              <w:t>Доля автомобильных дорог регионального и межмуниципального значения, соответствующих нормативным требованиям, %</w:t>
            </w:r>
            <w:r>
              <w:rPr>
                <w:rFonts w:eastAsia="Tahoma" w:cs="Droid Sans Devanagari"/>
                <w:color w:val="000000"/>
                <w:spacing w:val="0"/>
                <w:kern w:val="0"/>
                <w:sz w:val="28"/>
                <w:szCs w:val="20"/>
                <w:vertAlign w:val="superscript"/>
                <w:lang w:val="ru-RU" w:eastAsia="zh-CN" w:bidi="hi-IN"/>
              </w:rPr>
              <w:t>9</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46,8</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48,6</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50,9</w:t>
            </w:r>
          </w:p>
        </w:tc>
      </w:tr>
    </w:tbl>
    <w:p>
      <w:pPr>
        <w:pStyle w:val="ListParagraph1"/>
        <w:spacing w:lineRule="auto" w:line="312"/>
        <w:ind w:left="709" w:right="0" w:hanging="0"/>
        <w:jc w:val="both"/>
        <w:rPr>
          <w:color w:val="000000"/>
          <w:sz w:val="16"/>
        </w:rPr>
      </w:pPr>
      <w:r>
        <w:rPr>
          <w:color w:val="000000"/>
          <w:sz w:val="16"/>
        </w:rPr>
      </w:r>
    </w:p>
    <w:p>
      <w:pPr>
        <w:pStyle w:val="ListParagraph1"/>
        <w:numPr>
          <w:ilvl w:val="0"/>
          <w:numId w:val="1"/>
        </w:numPr>
        <w:spacing w:lineRule="auto" w:line="312"/>
        <w:ind w:left="0" w:right="-31" w:firstLine="709"/>
        <w:jc w:val="both"/>
        <w:rPr>
          <w:color w:val="000000"/>
          <w:sz w:val="28"/>
        </w:rPr>
      </w:pPr>
      <w:r>
        <w:rPr>
          <w:color w:val="000000"/>
          <w:sz w:val="28"/>
        </w:rPr>
        <w:t>Обеспечение доли дорожной сети в городских агломерациях, соответствующей нормативным требованиям,</w:t>
        <w:br/>
        <w:t>на уровне не менее 85 %.</w:t>
      </w:r>
    </w:p>
    <w:tbl>
      <w:tblPr>
        <w:tblW w:w="15026" w:type="dxa"/>
        <w:jc w:val="left"/>
        <w:tblInd w:w="0" w:type="dxa"/>
        <w:tblLayout w:type="fixed"/>
        <w:tblCellMar>
          <w:top w:w="0" w:type="dxa"/>
          <w:left w:w="108" w:type="dxa"/>
          <w:bottom w:w="0" w:type="dxa"/>
          <w:right w:w="108" w:type="dxa"/>
        </w:tblCellMar>
      </w:tblPr>
      <w:tblGrid>
        <w:gridCol w:w="8788"/>
        <w:gridCol w:w="1040"/>
        <w:gridCol w:w="1040"/>
        <w:gridCol w:w="1038"/>
        <w:gridCol w:w="1040"/>
        <w:gridCol w:w="1040"/>
        <w:gridCol w:w="1039"/>
      </w:tblGrid>
      <w:tr>
        <w:trPr>
          <w:trHeight w:val="430" w:hRule="atLeast"/>
        </w:trPr>
        <w:tc>
          <w:tcPr>
            <w:tcW w:w="8788" w:type="dxa"/>
            <w:tcBorders/>
            <w:vAlign w:val="center"/>
          </w:tcPr>
          <w:p>
            <w:pPr>
              <w:pStyle w:val="Normal"/>
              <w:widowControl w:val="false"/>
              <w:suppressAutoHyphens w:val="true"/>
              <w:spacing w:lineRule="auto" w:line="312" w:before="0" w:after="0"/>
              <w:ind w:left="-108" w:right="0" w:hanging="0"/>
              <w:jc w:val="center"/>
              <w:rPr>
                <w:color w:val="000000"/>
                <w:spacing w:val="0"/>
                <w:kern w:val="0"/>
                <w:sz w:val="28"/>
                <w:szCs w:val="20"/>
              </w:rPr>
            </w:pPr>
            <w:r>
              <w:rPr>
                <w:color w:val="000000"/>
                <w:spacing w:val="0"/>
                <w:kern w:val="0"/>
                <w:sz w:val="28"/>
                <w:szCs w:val="20"/>
              </w:rPr>
              <w:t>Показатель</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2019</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2020</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2021</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2022</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2023</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2024</w:t>
            </w:r>
          </w:p>
        </w:tc>
      </w:tr>
      <w:tr>
        <w:trPr>
          <w:trHeight w:val="273" w:hRule="atLeast"/>
        </w:trPr>
        <w:tc>
          <w:tcPr>
            <w:tcW w:w="8788" w:type="dxa"/>
            <w:tcBorders/>
            <w:vAlign w:val="center"/>
          </w:tcPr>
          <w:p>
            <w:pPr>
              <w:pStyle w:val="Normal"/>
              <w:widowControl w:val="false"/>
              <w:suppressAutoHyphens w:val="true"/>
              <w:spacing w:lineRule="auto" w:line="240" w:before="0" w:after="0"/>
              <w:ind w:left="0" w:right="0" w:hanging="0"/>
              <w:jc w:val="both"/>
              <w:rPr>
                <w:color w:val="000000"/>
                <w:spacing w:val="0"/>
                <w:kern w:val="0"/>
                <w:sz w:val="28"/>
                <w:szCs w:val="20"/>
              </w:rPr>
            </w:pPr>
            <w:r>
              <w:rPr>
                <w:color w:val="000000"/>
                <w:spacing w:val="0"/>
                <w:kern w:val="0"/>
                <w:sz w:val="28"/>
                <w:szCs w:val="20"/>
              </w:rPr>
              <w:t>Доля дорожной сети городских агломераций, соответствующая нормативным требованиям, %</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65,3</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69,0</w:t>
            </w:r>
          </w:p>
        </w:tc>
        <w:tc>
          <w:tcPr>
            <w:tcW w:w="1038"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73,0</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77,0</w:t>
            </w:r>
          </w:p>
        </w:tc>
        <w:tc>
          <w:tcPr>
            <w:tcW w:w="1040"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81,0</w:t>
            </w:r>
          </w:p>
        </w:tc>
        <w:tc>
          <w:tcPr>
            <w:tcW w:w="1039" w:type="dxa"/>
            <w:tcBorders/>
            <w:vAlign w:val="center"/>
          </w:tcPr>
          <w:p>
            <w:pPr>
              <w:pStyle w:val="Normal"/>
              <w:widowControl w:val="false"/>
              <w:suppressAutoHyphens w:val="true"/>
              <w:spacing w:lineRule="auto" w:line="240" w:before="0" w:after="0"/>
              <w:ind w:left="0" w:right="0" w:hanging="0"/>
              <w:jc w:val="center"/>
              <w:rPr>
                <w:color w:val="000000"/>
                <w:spacing w:val="0"/>
                <w:kern w:val="0"/>
                <w:sz w:val="28"/>
                <w:szCs w:val="20"/>
              </w:rPr>
            </w:pPr>
            <w:r>
              <w:rPr>
                <w:color w:val="000000"/>
                <w:spacing w:val="0"/>
                <w:kern w:val="0"/>
                <w:sz w:val="28"/>
                <w:szCs w:val="20"/>
              </w:rPr>
              <w:t>85,0</w:t>
            </w:r>
          </w:p>
        </w:tc>
      </w:tr>
    </w:tbl>
    <w:p>
      <w:pPr>
        <w:pStyle w:val="ListParagraph1"/>
        <w:spacing w:lineRule="auto" w:line="312"/>
        <w:ind w:left="709" w:right="0" w:hanging="0"/>
        <w:jc w:val="both"/>
        <w:rPr>
          <w:color w:val="000000"/>
          <w:sz w:val="16"/>
        </w:rPr>
      </w:pPr>
      <w:r>
        <w:rPr>
          <w:color w:val="000000"/>
          <w:sz w:val="16"/>
        </w:rPr>
      </w:r>
    </w:p>
    <w:p>
      <w:pPr>
        <w:pStyle w:val="ListParagraph1"/>
        <w:numPr>
          <w:ilvl w:val="0"/>
          <w:numId w:val="1"/>
        </w:numPr>
        <w:spacing w:lineRule="auto" w:line="312"/>
        <w:ind w:left="709" w:right="0" w:hanging="0"/>
        <w:jc w:val="both"/>
        <w:rPr>
          <w:color w:val="000000"/>
          <w:sz w:val="28"/>
        </w:rPr>
      </w:pPr>
      <w:r>
        <w:rPr>
          <w:color w:val="000000"/>
          <w:sz w:val="28"/>
        </w:rPr>
        <w:t>Повышение эффективности государственного управления в сфере транспортного комплекса.</w:t>
      </w:r>
      <w:r>
        <w:br w:type="page"/>
      </w:r>
    </w:p>
    <w:p>
      <w:pPr>
        <w:pStyle w:val="Normal"/>
        <w:widowControl/>
        <w:suppressAutoHyphens w:val="true"/>
        <w:overflowPunct w:val="true"/>
        <w:bidi w:val="0"/>
        <w:spacing w:lineRule="auto" w:line="312" w:before="0" w:after="0"/>
        <w:ind w:left="0" w:right="0" w:firstLine="737"/>
        <w:jc w:val="both"/>
        <w:rPr>
          <w:b/>
          <w:b/>
          <w:color w:val="000000"/>
          <w:sz w:val="28"/>
        </w:rPr>
      </w:pPr>
      <w:r>
        <w:rPr>
          <w:b/>
          <w:color w:val="000000"/>
          <w:sz w:val="28"/>
        </w:rPr>
        <w:t>III. Публичная декларация целей и задач на очередной год с учетом требований законодательства Российской Федерации о государственной, коммерческой, служебной и иной охраняемой законом тайне</w:t>
      </w:r>
    </w:p>
    <w:p>
      <w:pPr>
        <w:pStyle w:val="Normal"/>
        <w:widowControl w:val="false"/>
        <w:spacing w:lineRule="auto" w:line="312"/>
        <w:ind w:left="0" w:right="0" w:firstLine="709"/>
        <w:jc w:val="both"/>
        <w:rPr>
          <w:color w:val="000000"/>
          <w:sz w:val="28"/>
        </w:rPr>
      </w:pPr>
      <w:r>
        <w:rPr>
          <w:color w:val="000000"/>
          <w:sz w:val="28"/>
        </w:rPr>
        <w:t>Публичная декларация целей и задач Министерства транспорта Российской Федерации на 2021 год.</w:t>
      </w:r>
    </w:p>
    <w:p>
      <w:pPr>
        <w:pStyle w:val="Normal"/>
        <w:widowControl w:val="false"/>
        <w:spacing w:lineRule="auto" w:line="312"/>
        <w:ind w:left="0" w:right="0" w:firstLine="709"/>
        <w:jc w:val="both"/>
        <w:rPr>
          <w:color w:val="000000"/>
          <w:sz w:val="28"/>
        </w:rPr>
      </w:pPr>
      <w:r>
        <w:rPr>
          <w:color w:val="000000"/>
          <w:sz w:val="28"/>
        </w:rPr>
        <w:t>Ключевыми целями Министерства транспорта Российской Федерации на 2021 год являются:</w:t>
      </w:r>
    </w:p>
    <w:p>
      <w:pPr>
        <w:pStyle w:val="Normal"/>
        <w:widowControl w:val="false"/>
        <w:spacing w:lineRule="auto" w:line="312"/>
        <w:ind w:left="0" w:right="0" w:firstLine="709"/>
        <w:jc w:val="both"/>
        <w:rPr>
          <w:color w:val="000000"/>
          <w:sz w:val="28"/>
        </w:rPr>
      </w:pPr>
      <w:r>
        <w:rPr>
          <w:color w:val="000000"/>
          <w:sz w:val="28"/>
        </w:rPr>
        <w:t xml:space="preserve">– </w:t>
      </w:r>
      <w:r>
        <w:rPr>
          <w:color w:val="000000"/>
          <w:sz w:val="28"/>
        </w:rPr>
        <w:t>повышение мобильности населения;</w:t>
      </w:r>
    </w:p>
    <w:p>
      <w:pPr>
        <w:pStyle w:val="Normal"/>
        <w:widowControl w:val="false"/>
        <w:spacing w:lineRule="auto" w:line="312"/>
        <w:ind w:left="0" w:right="0" w:firstLine="709"/>
        <w:jc w:val="both"/>
        <w:rPr>
          <w:color w:val="000000"/>
          <w:sz w:val="28"/>
        </w:rPr>
      </w:pPr>
      <w:r>
        <w:rPr>
          <w:color w:val="000000"/>
          <w:sz w:val="28"/>
        </w:rPr>
        <w:t xml:space="preserve">– </w:t>
      </w:r>
      <w:r>
        <w:rPr>
          <w:color w:val="000000"/>
          <w:sz w:val="28"/>
        </w:rPr>
        <w:t>развитие транспортной инфраструктуры, направленной на повышение темпов экономического роста, качества жизни населения и реализацию транзитного потенциала;</w:t>
      </w:r>
    </w:p>
    <w:p>
      <w:pPr>
        <w:pStyle w:val="Normal"/>
        <w:widowControl w:val="false"/>
        <w:spacing w:lineRule="auto" w:line="312"/>
        <w:ind w:left="0" w:right="0" w:firstLine="709"/>
        <w:jc w:val="both"/>
        <w:rPr>
          <w:color w:val="000000"/>
          <w:sz w:val="28"/>
        </w:rPr>
      </w:pPr>
      <w:r>
        <w:rPr>
          <w:color w:val="000000"/>
          <w:sz w:val="28"/>
        </w:rPr>
        <w:t xml:space="preserve">– </w:t>
      </w:r>
      <w:r>
        <w:rPr>
          <w:color w:val="000000"/>
          <w:sz w:val="28"/>
        </w:rPr>
        <w:t>повышение эффективности и безопасности функционирования транспортного комплекса.</w:t>
      </w:r>
    </w:p>
    <w:p>
      <w:pPr>
        <w:pStyle w:val="Normal"/>
        <w:widowControl w:val="false"/>
        <w:spacing w:lineRule="auto" w:line="312"/>
        <w:ind w:left="0" w:right="0" w:firstLine="709"/>
        <w:jc w:val="both"/>
        <w:rPr>
          <w:color w:val="000000"/>
          <w:sz w:val="28"/>
        </w:rPr>
      </w:pPr>
      <w:r>
        <w:rPr>
          <w:color w:val="000000"/>
          <w:sz w:val="28"/>
        </w:rPr>
        <w:t>Достижение цели по повышению мобильности населения обеспечивается решением следующих задач:</w:t>
      </w:r>
    </w:p>
    <w:p>
      <w:pPr>
        <w:pStyle w:val="Normal"/>
        <w:widowControl w:val="false"/>
        <w:numPr>
          <w:ilvl w:val="0"/>
          <w:numId w:val="2"/>
        </w:numPr>
        <w:spacing w:lineRule="auto" w:line="312"/>
        <w:ind w:left="0" w:right="0" w:firstLine="709"/>
        <w:jc w:val="both"/>
        <w:rPr>
          <w:color w:val="000000"/>
          <w:sz w:val="28"/>
        </w:rPr>
      </w:pPr>
      <w:r>
        <w:rPr>
          <w:color w:val="000000"/>
          <w:sz w:val="28"/>
        </w:rPr>
        <w:t>обновление подвижного состава наземного городского пассажирского транспорта в рамках национального проекта «Безопасные качественные дороги»;</w:t>
      </w:r>
    </w:p>
    <w:p>
      <w:pPr>
        <w:pStyle w:val="Normal"/>
        <w:widowControl w:val="false"/>
        <w:numPr>
          <w:ilvl w:val="0"/>
          <w:numId w:val="2"/>
        </w:numPr>
        <w:spacing w:lineRule="auto" w:line="312"/>
        <w:ind w:left="0" w:right="0" w:firstLine="709"/>
        <w:jc w:val="both"/>
        <w:rPr>
          <w:color w:val="000000"/>
          <w:sz w:val="28"/>
        </w:rPr>
      </w:pPr>
      <w:r>
        <w:rPr>
          <w:color w:val="000000"/>
          <w:sz w:val="28"/>
        </w:rPr>
        <w:t>обновление парка транспортных средств на железнодорожном транспорте;</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потребности в перевозках пассажиров на железнодорожном транспорте;</w:t>
      </w:r>
    </w:p>
    <w:p>
      <w:pPr>
        <w:pStyle w:val="Normal"/>
        <w:widowControl w:val="false"/>
        <w:numPr>
          <w:ilvl w:val="0"/>
          <w:numId w:val="2"/>
        </w:numPr>
        <w:spacing w:lineRule="auto" w:line="312"/>
        <w:ind w:left="0" w:right="0" w:firstLine="709"/>
        <w:jc w:val="both"/>
        <w:rPr>
          <w:color w:val="000000"/>
          <w:sz w:val="28"/>
        </w:rPr>
      </w:pPr>
      <w:r>
        <w:rPr>
          <w:color w:val="000000"/>
          <w:sz w:val="28"/>
        </w:rPr>
        <w:t>расширение сети межрегиональных регулярных пассажирских авиационных маршрутов, минуя г. Москву;</w:t>
      </w:r>
    </w:p>
    <w:p>
      <w:pPr>
        <w:pStyle w:val="Normal"/>
        <w:widowControl w:val="false"/>
        <w:numPr>
          <w:ilvl w:val="0"/>
          <w:numId w:val="2"/>
        </w:numPr>
        <w:spacing w:lineRule="auto" w:line="312"/>
        <w:ind w:left="0" w:right="0" w:firstLine="709"/>
        <w:jc w:val="both"/>
        <w:rPr>
          <w:color w:val="000000"/>
          <w:sz w:val="28"/>
        </w:rPr>
      </w:pPr>
      <w:r>
        <w:rPr>
          <w:color w:val="000000"/>
          <w:sz w:val="28"/>
        </w:rPr>
        <w:t>создание Дальневосточной региональной авиакомпании;</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возможности перевозки пассажиров в прямом смешанном (комбинированном), в том числе мультимодальном, сообщении на территориях субъектов Российской Федерации.</w:t>
      </w:r>
    </w:p>
    <w:p>
      <w:pPr>
        <w:pStyle w:val="Normal"/>
        <w:widowControl w:val="false"/>
        <w:spacing w:lineRule="auto" w:line="312"/>
        <w:ind w:left="0" w:right="0" w:firstLine="709"/>
        <w:jc w:val="both"/>
        <w:rPr>
          <w:i/>
          <w:i/>
          <w:color w:val="000000"/>
          <w:sz w:val="28"/>
        </w:rPr>
      </w:pPr>
      <w:r>
        <w:rPr>
          <w:i/>
          <w:color w:val="000000"/>
          <w:sz w:val="28"/>
        </w:rPr>
        <w:t>Результаты решения задач в 2021 году:</w:t>
      </w:r>
    </w:p>
    <w:p>
      <w:pPr>
        <w:pStyle w:val="Normal"/>
        <w:widowControl w:val="false"/>
        <w:numPr>
          <w:ilvl w:val="0"/>
          <w:numId w:val="2"/>
        </w:numPr>
        <w:spacing w:lineRule="auto" w:line="312"/>
        <w:ind w:left="0" w:right="0" w:firstLine="709"/>
        <w:jc w:val="both"/>
        <w:rPr/>
      </w:pPr>
      <w:r>
        <w:rPr>
          <w:color w:val="000000"/>
          <w:sz w:val="28"/>
        </w:rPr>
        <w:t xml:space="preserve">транспортная подвижность населения на уровне </w:t>
      </w:r>
      <w:r>
        <w:rPr>
          <w:color w:val="000000"/>
          <w:sz w:val="28"/>
          <w:shd w:fill="auto" w:val="clear"/>
        </w:rPr>
        <w:t>8,0</w:t>
      </w:r>
      <w:r>
        <w:rPr>
          <w:shd w:fill="auto" w:val="clear"/>
        </w:rPr>
        <w:t xml:space="preserve"> </w:t>
      </w:r>
      <w:r>
        <w:rPr>
          <w:color w:val="000000"/>
          <w:sz w:val="28"/>
        </w:rPr>
        <w:t>тыс. пасс.-км на 1 человека, в том числе на транспорте общего пользования – 3,9 тыс. пасс.-км на 1 человека;</w:t>
      </w:r>
    </w:p>
    <w:p>
      <w:pPr>
        <w:pStyle w:val="Normal"/>
        <w:widowControl w:val="false"/>
        <w:numPr>
          <w:ilvl w:val="0"/>
          <w:numId w:val="2"/>
        </w:numPr>
        <w:spacing w:lineRule="auto" w:line="312"/>
        <w:ind w:left="0" w:right="0" w:firstLine="709"/>
        <w:jc w:val="both"/>
        <w:rPr/>
      </w:pPr>
      <w:r>
        <w:rPr>
          <w:color w:val="000000"/>
          <w:sz w:val="28"/>
        </w:rPr>
        <w:t xml:space="preserve">обновление подвижного состава наземного городского пассажирского транспорта в количестве </w:t>
      </w:r>
      <w:r>
        <w:rPr>
          <w:color w:val="000000"/>
          <w:sz w:val="28"/>
          <w:shd w:fill="auto" w:val="clear"/>
        </w:rPr>
        <w:t>4</w:t>
      </w:r>
      <w:r>
        <w:rPr>
          <w:rFonts w:eastAsia="Tahoma" w:cs="Droid Sans Devanagari"/>
          <w:color w:val="000000"/>
          <w:spacing w:val="0"/>
          <w:kern w:val="0"/>
          <w:sz w:val="28"/>
          <w:szCs w:val="20"/>
          <w:shd w:fill="auto" w:val="clear"/>
          <w:lang w:val="ru-RU" w:eastAsia="zh-CN" w:bidi="hi-IN"/>
        </w:rPr>
        <w:t>77</w:t>
      </w:r>
      <w:r>
        <w:rPr>
          <w:color w:val="000000"/>
          <w:sz w:val="28"/>
        </w:rPr>
        <w:t xml:space="preserve"> единиц </w:t>
        <w:br/>
        <w:t>в рамках национального проекта «Безопасные качественные дороги»;</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обновление парка пассажирских вагонов для перевозок в дальнем следовании в количестве не менее 277 единиц (в том числе 131 двухэтажный), парка моторвагонного подвижного состава для пригородного сообщения – не менее </w:t>
        <w:br/>
        <w:t>445 единиц, в том числе электропоездов «Ласточка» – 150 единиц;</w:t>
      </w:r>
    </w:p>
    <w:p>
      <w:pPr>
        <w:pStyle w:val="Normal"/>
        <w:widowControl w:val="false"/>
        <w:numPr>
          <w:ilvl w:val="0"/>
          <w:numId w:val="2"/>
        </w:numPr>
        <w:spacing w:lineRule="auto" w:line="312"/>
        <w:ind w:left="0" w:right="0" w:firstLine="709"/>
        <w:jc w:val="both"/>
        <w:rPr>
          <w:color w:val="000000"/>
          <w:sz w:val="28"/>
        </w:rPr>
      </w:pPr>
      <w:r>
        <w:rPr>
          <w:color w:val="000000"/>
          <w:sz w:val="28"/>
        </w:rPr>
        <w:t>транспортная подвижность населения на железнодорожном транспорте в объеме 878 пасс.-км на 1 человека в год;</w:t>
      </w:r>
    </w:p>
    <w:p>
      <w:pPr>
        <w:pStyle w:val="Normal"/>
        <w:widowControl w:val="false"/>
        <w:numPr>
          <w:ilvl w:val="0"/>
          <w:numId w:val="2"/>
        </w:numPr>
        <w:spacing w:lineRule="auto" w:line="312"/>
        <w:ind w:left="0" w:right="0" w:firstLine="709"/>
        <w:jc w:val="both"/>
        <w:rPr>
          <w:color w:val="000000"/>
          <w:sz w:val="28"/>
        </w:rPr>
      </w:pPr>
      <w:r>
        <w:rPr>
          <w:color w:val="000000"/>
          <w:sz w:val="28"/>
        </w:rPr>
        <w:t>пассажиропоток в железнодорожном сообщении для ключевых направлений Центрального транспортного узла – 771,1 млн. человек;</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количество отправленных пассажиров в дальнем следовании на уровне 128,7 млн. человек, в том числе </w:t>
        <w:br/>
        <w:t xml:space="preserve">в регулируемом государственном секторе – 59 млн. человек; </w:t>
      </w:r>
    </w:p>
    <w:p>
      <w:pPr>
        <w:pStyle w:val="Normal"/>
        <w:widowControl w:val="false"/>
        <w:numPr>
          <w:ilvl w:val="0"/>
          <w:numId w:val="2"/>
        </w:numPr>
        <w:spacing w:lineRule="auto" w:line="312"/>
        <w:ind w:left="0" w:right="0" w:firstLine="709"/>
        <w:jc w:val="both"/>
        <w:rPr>
          <w:color w:val="000000"/>
          <w:sz w:val="28"/>
        </w:rPr>
      </w:pPr>
      <w:r>
        <w:rPr>
          <w:color w:val="000000"/>
          <w:sz w:val="28"/>
        </w:rPr>
        <w:t>доля межрегиональных регулярных пассажирских авиационных рейсов (маршрутов), минуя г. Москву, на уровне 44 % от общего количества внутренних регулярных маршрутов;</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46 445 субсидированных региональных регулярных авиационных рейсов (выполняемых не менее </w:t>
        <w:br/>
        <w:t>чем по 175 маршрутам внутренних воздушных линий);</w:t>
      </w:r>
    </w:p>
    <w:p>
      <w:pPr>
        <w:pStyle w:val="Normal"/>
        <w:widowControl w:val="false"/>
        <w:numPr>
          <w:ilvl w:val="0"/>
          <w:numId w:val="2"/>
        </w:numPr>
        <w:spacing w:lineRule="auto" w:line="312"/>
        <w:ind w:left="0" w:right="0" w:firstLine="709"/>
        <w:jc w:val="both"/>
        <w:rPr>
          <w:color w:val="000000"/>
          <w:sz w:val="28"/>
        </w:rPr>
      </w:pPr>
      <w:r>
        <w:rPr>
          <w:color w:val="000000"/>
          <w:sz w:val="28"/>
        </w:rPr>
        <w:t>завершение создания Дальневосточной региональной авиакомпании;</w:t>
      </w:r>
    </w:p>
    <w:p>
      <w:pPr>
        <w:pStyle w:val="Normal"/>
        <w:widowControl w:val="false"/>
        <w:numPr>
          <w:ilvl w:val="0"/>
          <w:numId w:val="2"/>
        </w:numPr>
        <w:spacing w:lineRule="auto" w:line="312"/>
        <w:ind w:left="0" w:right="0" w:firstLine="709"/>
        <w:jc w:val="both"/>
        <w:rPr/>
      </w:pPr>
      <w:r>
        <w:rPr>
          <w:color w:val="000000"/>
          <w:sz w:val="28"/>
          <w:shd w:fill="auto" w:val="clear"/>
        </w:rPr>
        <w:t>1</w:t>
      </w:r>
      <w:r>
        <w:rPr>
          <w:rFonts w:eastAsia="Tahoma" w:cs="Droid Sans Devanagari"/>
          <w:color w:val="000000"/>
          <w:spacing w:val="0"/>
          <w:kern w:val="0"/>
          <w:sz w:val="28"/>
          <w:szCs w:val="20"/>
          <w:shd w:fill="auto" w:val="clear"/>
          <w:lang w:val="ru-RU" w:eastAsia="zh-CN" w:bidi="hi-IN"/>
        </w:rPr>
        <w:t>5</w:t>
      </w:r>
      <w:r>
        <w:rPr>
          <w:color w:val="000000"/>
          <w:sz w:val="28"/>
          <w:shd w:fill="auto" w:val="clear"/>
        </w:rPr>
        <w:t xml:space="preserve"> </w:t>
      </w:r>
      <w:r>
        <w:rPr>
          <w:color w:val="000000"/>
          <w:sz w:val="28"/>
        </w:rPr>
        <w:t xml:space="preserve">маршрутов прямых смешанных (комбинированных), в том числе мультимодальных, перевозок пассажиров </w:t>
        <w:br/>
        <w:t>на территориях субъектов Российской Федерации.</w:t>
      </w:r>
    </w:p>
    <w:p>
      <w:pPr>
        <w:pStyle w:val="Normal"/>
        <w:widowControl w:val="false"/>
        <w:spacing w:lineRule="auto" w:line="312"/>
        <w:ind w:left="0" w:right="0" w:firstLine="709"/>
        <w:jc w:val="both"/>
        <w:rPr>
          <w:color w:val="000000"/>
          <w:sz w:val="28"/>
        </w:rPr>
      </w:pPr>
      <w:r>
        <w:rPr>
          <w:color w:val="000000"/>
          <w:sz w:val="28"/>
        </w:rPr>
        <w:t>Достижение цели по развитию транспортной инфраструктуры, направленной на повышение темпов экономического роста, качества жизни населения и реализацию транзитного потенциала обеспечивается решением следующих задач:</w:t>
      </w:r>
    </w:p>
    <w:p>
      <w:pPr>
        <w:pStyle w:val="Normal"/>
        <w:widowControl w:val="false"/>
        <w:numPr>
          <w:ilvl w:val="0"/>
          <w:numId w:val="2"/>
        </w:numPr>
        <w:spacing w:lineRule="auto" w:line="312"/>
        <w:ind w:left="0" w:right="0" w:firstLine="709"/>
        <w:jc w:val="both"/>
        <w:rPr>
          <w:color w:val="000000"/>
          <w:sz w:val="28"/>
        </w:rPr>
      </w:pPr>
      <w:r>
        <w:rPr>
          <w:color w:val="000000"/>
          <w:sz w:val="28"/>
        </w:rPr>
        <w:t>развитие сети автомобильных дорог федерального значения (в том числе в рамках транспортных коридоров «Запад − Восток» и «Север − Юг»);</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развитие железнодорожных линий (в том числе в рамках транспортных коридоров «Запад − Восток», </w:t>
        <w:br/>
        <w:t>«Север − Юг» и «Европа – Западный Китай»);</w:t>
      </w:r>
    </w:p>
    <w:p>
      <w:pPr>
        <w:pStyle w:val="Normal"/>
        <w:widowControl w:val="false"/>
        <w:numPr>
          <w:ilvl w:val="0"/>
          <w:numId w:val="2"/>
        </w:numPr>
        <w:spacing w:lineRule="auto" w:line="312"/>
        <w:ind w:left="0" w:right="0" w:firstLine="709"/>
        <w:jc w:val="both"/>
        <w:rPr>
          <w:color w:val="000000"/>
          <w:sz w:val="28"/>
        </w:rPr>
      </w:pPr>
      <w:r>
        <w:rPr>
          <w:color w:val="000000"/>
          <w:sz w:val="28"/>
        </w:rPr>
        <w:t>увеличение объема транзитных перевозок контейнеров железнодорожным транспортом;</w:t>
      </w:r>
    </w:p>
    <w:p>
      <w:pPr>
        <w:pStyle w:val="Normal"/>
        <w:widowControl w:val="false"/>
        <w:numPr>
          <w:ilvl w:val="0"/>
          <w:numId w:val="2"/>
        </w:numPr>
        <w:spacing w:lineRule="auto" w:line="312"/>
        <w:ind w:left="0" w:right="0" w:firstLine="709"/>
        <w:jc w:val="both"/>
        <w:rPr>
          <w:color w:val="000000"/>
          <w:sz w:val="28"/>
        </w:rPr>
      </w:pPr>
      <w:r>
        <w:rPr>
          <w:color w:val="000000"/>
          <w:sz w:val="28"/>
        </w:rPr>
        <w:t>увеличение пропускной способности внутренних водных путей;</w:t>
      </w:r>
    </w:p>
    <w:p>
      <w:pPr>
        <w:pStyle w:val="Normal"/>
        <w:widowControl w:val="false"/>
        <w:numPr>
          <w:ilvl w:val="0"/>
          <w:numId w:val="2"/>
        </w:numPr>
        <w:spacing w:lineRule="auto" w:line="312"/>
        <w:ind w:left="0" w:right="0" w:firstLine="709"/>
        <w:jc w:val="both"/>
        <w:rPr>
          <w:color w:val="000000"/>
          <w:sz w:val="28"/>
        </w:rPr>
      </w:pPr>
      <w:r>
        <w:rPr>
          <w:color w:val="000000"/>
          <w:sz w:val="28"/>
        </w:rPr>
        <w:t>увеличение мощностей морских портов Российской Федерации;</w:t>
      </w:r>
    </w:p>
    <w:p>
      <w:pPr>
        <w:pStyle w:val="Normal"/>
        <w:widowControl w:val="false"/>
        <w:numPr>
          <w:ilvl w:val="0"/>
          <w:numId w:val="2"/>
        </w:numPr>
        <w:spacing w:lineRule="auto" w:line="312"/>
        <w:ind w:left="0" w:right="0" w:firstLine="709"/>
        <w:jc w:val="both"/>
        <w:rPr>
          <w:color w:val="000000"/>
          <w:sz w:val="28"/>
        </w:rPr>
      </w:pPr>
      <w:r>
        <w:rPr>
          <w:color w:val="000000"/>
          <w:sz w:val="28"/>
        </w:rPr>
        <w:t>развитие аэропортовой сети;</w:t>
      </w:r>
    </w:p>
    <w:p>
      <w:pPr>
        <w:pStyle w:val="Normal"/>
        <w:widowControl w:val="false"/>
        <w:numPr>
          <w:ilvl w:val="0"/>
          <w:numId w:val="2"/>
        </w:numPr>
        <w:spacing w:lineRule="auto" w:line="312"/>
        <w:ind w:left="0" w:right="0" w:firstLine="709"/>
        <w:jc w:val="both"/>
        <w:rPr>
          <w:color w:val="000000"/>
          <w:sz w:val="28"/>
        </w:rPr>
      </w:pPr>
      <w:r>
        <w:rPr>
          <w:color w:val="000000"/>
          <w:sz w:val="28"/>
        </w:rPr>
        <w:t>совершенствование функционирования Единой системы организации воздушного движения;</w:t>
      </w:r>
    </w:p>
    <w:p>
      <w:pPr>
        <w:pStyle w:val="Normal"/>
        <w:widowControl w:val="false"/>
        <w:numPr>
          <w:ilvl w:val="0"/>
          <w:numId w:val="2"/>
        </w:numPr>
        <w:spacing w:lineRule="auto" w:line="312"/>
        <w:ind w:left="0" w:right="0" w:firstLine="709"/>
        <w:jc w:val="both"/>
        <w:rPr>
          <w:color w:val="000000"/>
          <w:sz w:val="28"/>
        </w:rPr>
      </w:pPr>
      <w:r>
        <w:rPr>
          <w:color w:val="000000"/>
          <w:sz w:val="28"/>
        </w:rPr>
        <w:t>обустройство пунктов пропуска через государственную границу Российской Федерации;</w:t>
      </w:r>
    </w:p>
    <w:p>
      <w:pPr>
        <w:pStyle w:val="Normal"/>
        <w:widowControl w:val="false"/>
        <w:numPr>
          <w:ilvl w:val="0"/>
          <w:numId w:val="2"/>
        </w:numPr>
        <w:spacing w:lineRule="auto" w:line="312"/>
        <w:ind w:left="0" w:right="0" w:firstLine="709"/>
        <w:jc w:val="both"/>
        <w:rPr>
          <w:color w:val="000000"/>
          <w:sz w:val="28"/>
        </w:rPr>
      </w:pPr>
      <w:r>
        <w:rPr>
          <w:color w:val="000000"/>
          <w:sz w:val="28"/>
        </w:rPr>
        <w:t>увеличение грузопотока по Северному морскому пути;</w:t>
      </w:r>
    </w:p>
    <w:p>
      <w:pPr>
        <w:pStyle w:val="Normal"/>
        <w:widowControl w:val="false"/>
        <w:numPr>
          <w:ilvl w:val="0"/>
          <w:numId w:val="2"/>
        </w:numPr>
        <w:spacing w:lineRule="auto" w:line="312"/>
        <w:ind w:left="0" w:right="0" w:firstLine="709"/>
        <w:jc w:val="both"/>
        <w:rPr>
          <w:color w:val="000000"/>
          <w:sz w:val="28"/>
        </w:rPr>
      </w:pPr>
      <w:r>
        <w:rPr>
          <w:color w:val="000000"/>
          <w:sz w:val="28"/>
        </w:rPr>
        <w:t>увеличение мощностей узловых грузовых мультимодальных транспортно-логистических центров.</w:t>
      </w:r>
    </w:p>
    <w:p>
      <w:pPr>
        <w:pStyle w:val="Normal"/>
        <w:widowControl w:val="false"/>
        <w:spacing w:lineRule="auto" w:line="312"/>
        <w:ind w:left="709" w:right="0" w:hanging="0"/>
        <w:jc w:val="both"/>
        <w:rPr>
          <w:i/>
          <w:i/>
          <w:color w:val="000000"/>
          <w:sz w:val="28"/>
        </w:rPr>
      </w:pPr>
      <w:r>
        <w:rPr>
          <w:i/>
          <w:color w:val="000000"/>
          <w:sz w:val="28"/>
        </w:rPr>
        <w:t>Результаты решения задач в 2021 году:</w:t>
      </w:r>
    </w:p>
    <w:p>
      <w:pPr>
        <w:pStyle w:val="Normal"/>
        <w:widowControl w:val="false"/>
        <w:numPr>
          <w:ilvl w:val="0"/>
          <w:numId w:val="2"/>
        </w:numPr>
        <w:spacing w:lineRule="auto" w:line="312"/>
        <w:ind w:left="0" w:right="0" w:firstLine="709"/>
        <w:jc w:val="both"/>
        <w:rPr/>
      </w:pPr>
      <w:r>
        <w:rPr>
          <w:color w:val="000000"/>
          <w:sz w:val="28"/>
        </w:rPr>
        <w:t xml:space="preserve">завершение строительства и реконструкции </w:t>
      </w:r>
      <w:r>
        <w:rPr>
          <w:rFonts w:eastAsia="Tahoma" w:cs="Droid Sans Devanagari"/>
          <w:color w:val="000000"/>
          <w:spacing w:val="0"/>
          <w:kern w:val="0"/>
          <w:sz w:val="28"/>
          <w:szCs w:val="20"/>
          <w:shd w:fill="auto" w:val="clear"/>
          <w:lang w:val="ru-RU" w:eastAsia="zh-CN" w:bidi="hi-IN"/>
        </w:rPr>
        <w:t>244,9</w:t>
      </w:r>
      <w:r>
        <w:rPr>
          <w:color w:val="000000"/>
          <w:sz w:val="28"/>
          <w:shd w:fill="auto" w:val="clear"/>
        </w:rPr>
        <w:t xml:space="preserve"> </w:t>
      </w:r>
      <w:r>
        <w:rPr>
          <w:color w:val="000000"/>
          <w:sz w:val="28"/>
        </w:rPr>
        <w:t xml:space="preserve">км автомобильных дорог федерального значения; </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ввод в эксплуатацию 127,8 км дополнительных главных путей и новых железнодорожных линий; </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обеспечение суммарной провозной способности Байкало-Амурской и Транссибирской железнодорожных магистралей в объеме 144 млн. тонн; </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обеспечение суммарной провозной способности участков на подходах к морским портам Северо-Западного бассейна в объеме 145,6 млн. тонн, на подходах к морским портам Азово-Черноморского бассейна в объеме 125,1 млн. тонн; </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обеспечение транзитных перевозок контейнеров в объеме 850 тыс. штук ДФЭ; </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обеспечение доставки транзитных контейнеров на направлении «Север – Юг» в срок до 2,5 суток; </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обеспечение доставки транзитных контейнеров на направлении «Запад – Восток» в срок до 8 суток; </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доставки транзитных контейнеров на направлении «Европа – Западный Китай» в срок до 2,2 суток;</w:t>
      </w:r>
    </w:p>
    <w:p>
      <w:pPr>
        <w:pStyle w:val="Normal"/>
        <w:widowControl w:val="false"/>
        <w:numPr>
          <w:ilvl w:val="0"/>
          <w:numId w:val="2"/>
        </w:numPr>
        <w:spacing w:lineRule="auto" w:line="312"/>
        <w:ind w:left="0" w:right="0" w:firstLine="709"/>
        <w:jc w:val="both"/>
        <w:rPr/>
      </w:pPr>
      <w:r>
        <w:rPr>
          <w:color w:val="000000"/>
          <w:sz w:val="28"/>
        </w:rPr>
        <w:t xml:space="preserve">прирост пропускной способности внутренних водных путей в объеме </w:t>
      </w:r>
      <w:r>
        <w:rPr>
          <w:rFonts w:eastAsia="Tahoma" w:cs="Droid Sans Devanagari"/>
          <w:color w:val="000000"/>
          <w:spacing w:val="0"/>
          <w:kern w:val="0"/>
          <w:sz w:val="28"/>
          <w:szCs w:val="20"/>
          <w:shd w:fill="auto" w:val="clear"/>
          <w:lang w:val="ru-RU" w:eastAsia="zh-CN" w:bidi="hi-IN"/>
        </w:rPr>
        <w:t>1,47</w:t>
      </w:r>
      <w:r>
        <w:rPr>
          <w:color w:val="000000"/>
          <w:sz w:val="28"/>
        </w:rPr>
        <w:t xml:space="preserve"> млн. тонн;</w:t>
      </w:r>
    </w:p>
    <w:p>
      <w:pPr>
        <w:pStyle w:val="Normal"/>
        <w:widowControl w:val="false"/>
        <w:numPr>
          <w:ilvl w:val="0"/>
          <w:numId w:val="2"/>
        </w:numPr>
        <w:spacing w:lineRule="auto" w:line="312"/>
        <w:ind w:left="0" w:right="0" w:firstLine="709"/>
        <w:jc w:val="both"/>
        <w:rPr/>
      </w:pPr>
      <w:r>
        <w:rPr>
          <w:color w:val="000000"/>
          <w:sz w:val="28"/>
        </w:rPr>
        <w:t xml:space="preserve">прирост производственной мощности российских морских портов в объеме </w:t>
      </w:r>
      <w:r>
        <w:rPr>
          <w:rFonts w:eastAsia="Tahoma" w:cs="Droid Sans Devanagari"/>
          <w:color w:val="000000"/>
          <w:spacing w:val="0"/>
          <w:kern w:val="0"/>
          <w:sz w:val="28"/>
          <w:szCs w:val="20"/>
          <w:shd w:fill="auto" w:val="clear"/>
          <w:lang w:val="ru-RU" w:eastAsia="zh-CN" w:bidi="hi-IN"/>
        </w:rPr>
        <w:t>40,3</w:t>
      </w:r>
      <w:r>
        <w:rPr>
          <w:color w:val="000000"/>
          <w:sz w:val="28"/>
        </w:rPr>
        <w:t xml:space="preserve"> млн. тонн;</w:t>
      </w:r>
    </w:p>
    <w:p>
      <w:pPr>
        <w:pStyle w:val="Normal"/>
        <w:widowControl w:val="false"/>
        <w:numPr>
          <w:ilvl w:val="0"/>
          <w:numId w:val="2"/>
        </w:numPr>
        <w:spacing w:lineRule="auto" w:line="312"/>
        <w:ind w:left="0" w:right="0" w:firstLine="709"/>
        <w:jc w:val="both"/>
        <w:rPr/>
      </w:pPr>
      <w:r>
        <w:rPr>
          <w:color w:val="000000"/>
          <w:sz w:val="28"/>
        </w:rPr>
        <w:t xml:space="preserve">ввод в эксплуатацию после реконструкции (строительства) </w:t>
      </w:r>
      <w:r>
        <w:rPr>
          <w:rFonts w:eastAsia="Tahoma" w:cs="Droid Sans Devanagari"/>
          <w:color w:val="000000"/>
          <w:spacing w:val="0"/>
          <w:kern w:val="0"/>
          <w:sz w:val="28"/>
          <w:szCs w:val="20"/>
          <w:shd w:fill="auto" w:val="clear"/>
          <w:lang w:val="ru-RU" w:eastAsia="zh-CN" w:bidi="hi-IN"/>
        </w:rPr>
        <w:t>7</w:t>
      </w:r>
      <w:r>
        <w:rPr>
          <w:color w:val="000000"/>
          <w:sz w:val="28"/>
        </w:rPr>
        <w:t xml:space="preserve"> взлетно-посадочных полос и </w:t>
      </w:r>
      <w:r>
        <w:rPr>
          <w:rFonts w:eastAsia="Tahoma" w:cs="Droid Sans Devanagari"/>
          <w:color w:val="000000"/>
          <w:spacing w:val="0"/>
          <w:kern w:val="0"/>
          <w:sz w:val="28"/>
          <w:szCs w:val="20"/>
          <w:shd w:fill="auto" w:val="clear"/>
          <w:lang w:val="ru-RU" w:eastAsia="zh-CN" w:bidi="hi-IN"/>
        </w:rPr>
        <w:t>3</w:t>
      </w:r>
      <w:r>
        <w:rPr>
          <w:color w:val="000000"/>
          <w:sz w:val="28"/>
        </w:rPr>
        <w:t xml:space="preserve"> вспомогательных объектов аэропортовой инфраструктуры; </w:t>
      </w:r>
    </w:p>
    <w:p>
      <w:pPr>
        <w:pStyle w:val="Normal"/>
        <w:widowControl w:val="false"/>
        <w:numPr>
          <w:ilvl w:val="0"/>
          <w:numId w:val="2"/>
        </w:numPr>
        <w:spacing w:lineRule="auto" w:line="312"/>
        <w:ind w:left="0" w:right="0" w:firstLine="709"/>
        <w:jc w:val="both"/>
        <w:rPr>
          <w:color w:val="000000"/>
          <w:sz w:val="28"/>
        </w:rPr>
      </w:pPr>
      <w:r>
        <w:rPr>
          <w:color w:val="000000"/>
          <w:sz w:val="28"/>
        </w:rPr>
        <w:t>ввод в эксплуатацию Санкт-Петербургского укрупненного центра управления воздушным движением;</w:t>
      </w:r>
    </w:p>
    <w:p>
      <w:pPr>
        <w:pStyle w:val="Normal"/>
        <w:widowControl w:val="false"/>
        <w:numPr>
          <w:ilvl w:val="0"/>
          <w:numId w:val="2"/>
        </w:numPr>
        <w:spacing w:lineRule="auto" w:line="312"/>
        <w:ind w:left="0" w:right="0" w:firstLine="709"/>
        <w:jc w:val="both"/>
        <w:rPr>
          <w:color w:val="000000"/>
          <w:sz w:val="28"/>
        </w:rPr>
      </w:pPr>
      <w:r>
        <w:rPr>
          <w:color w:val="000000"/>
          <w:sz w:val="28"/>
        </w:rPr>
        <w:t>открытие после завершения реконструкции (строительства, технического перевооружения) 6 пунктов пропуска через государственную границу Российской Федерации;</w:t>
      </w:r>
    </w:p>
    <w:p>
      <w:pPr>
        <w:pStyle w:val="Normal"/>
        <w:widowControl w:val="false"/>
        <w:numPr>
          <w:ilvl w:val="0"/>
          <w:numId w:val="2"/>
        </w:numPr>
        <w:spacing w:lineRule="auto" w:line="312"/>
        <w:ind w:left="0" w:right="0" w:firstLine="709"/>
        <w:jc w:val="both"/>
        <w:rPr/>
      </w:pPr>
      <w:r>
        <w:rPr>
          <w:color w:val="000000"/>
          <w:sz w:val="28"/>
        </w:rPr>
        <w:t xml:space="preserve">объем перевозок грузов в акватории Северного морского пути на уровне </w:t>
      </w:r>
      <w:r>
        <w:rPr>
          <w:rFonts w:eastAsia="Tahoma" w:cs="Droid Sans Devanagari"/>
          <w:color w:val="000000"/>
          <w:spacing w:val="0"/>
          <w:kern w:val="0"/>
          <w:sz w:val="28"/>
          <w:szCs w:val="20"/>
          <w:shd w:fill="auto" w:val="clear"/>
          <w:lang w:val="ru-RU" w:eastAsia="zh-CN" w:bidi="hi-IN"/>
        </w:rPr>
        <w:t>30,0</w:t>
      </w:r>
      <w:r>
        <w:rPr>
          <w:color w:val="000000"/>
          <w:sz w:val="28"/>
        </w:rPr>
        <w:t xml:space="preserve"> млн. тонн;</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ввод в эксплуатацию 5,7 млн. тонн (нарастающим итогом с 2019 года) мощностей узловых грузовых мультимодальных транспортно-логистических центров. </w:t>
      </w:r>
    </w:p>
    <w:p>
      <w:pPr>
        <w:pStyle w:val="Normal"/>
        <w:widowControl w:val="false"/>
        <w:spacing w:lineRule="auto" w:line="312"/>
        <w:ind w:left="0" w:right="0" w:firstLine="709"/>
        <w:jc w:val="both"/>
        <w:rPr/>
      </w:pPr>
      <w:r>
        <w:rPr>
          <w:color w:val="000000"/>
          <w:sz w:val="28"/>
        </w:rPr>
        <w:t xml:space="preserve">Достижение цели по </w:t>
      </w:r>
      <w:r>
        <w:rPr>
          <w:sz w:val="28"/>
        </w:rPr>
        <w:t>повышению эффективности и безопасности функционирования транспортного комплекса</w:t>
      </w:r>
      <w:r>
        <w:rPr>
          <w:color w:val="000000"/>
          <w:sz w:val="28"/>
        </w:rPr>
        <w:t xml:space="preserve"> обеспечивается решением следующих задач:</w:t>
      </w:r>
    </w:p>
    <w:p>
      <w:pPr>
        <w:pStyle w:val="Normal"/>
        <w:widowControl w:val="false"/>
        <w:numPr>
          <w:ilvl w:val="0"/>
          <w:numId w:val="2"/>
        </w:numPr>
        <w:spacing w:lineRule="auto" w:line="312"/>
        <w:ind w:left="0" w:right="0" w:firstLine="709"/>
        <w:jc w:val="both"/>
        <w:rPr/>
      </w:pPr>
      <w:r>
        <w:rPr>
          <w:sz w:val="28"/>
        </w:rPr>
        <w:t>об</w:t>
      </w:r>
      <w:r>
        <w:rPr>
          <w:color w:val="000000"/>
          <w:sz w:val="28"/>
        </w:rPr>
        <w:t>еспечение безопасного функционирования транспортного комплекса;</w:t>
      </w:r>
    </w:p>
    <w:p>
      <w:pPr>
        <w:pStyle w:val="Normal"/>
        <w:widowControl w:val="false"/>
        <w:numPr>
          <w:ilvl w:val="0"/>
          <w:numId w:val="2"/>
        </w:numPr>
        <w:spacing w:lineRule="auto" w:line="312"/>
        <w:ind w:left="0" w:right="0" w:firstLine="709"/>
        <w:jc w:val="both"/>
        <w:rPr>
          <w:color w:val="000000"/>
          <w:sz w:val="28"/>
        </w:rPr>
      </w:pPr>
      <w:r>
        <w:rPr>
          <w:color w:val="000000"/>
          <w:sz w:val="28"/>
        </w:rPr>
        <w:t>повышение качества автомобильных дорог федерального значения;</w:t>
      </w:r>
    </w:p>
    <w:p>
      <w:pPr>
        <w:pStyle w:val="Normal"/>
        <w:widowControl w:val="false"/>
        <w:numPr>
          <w:ilvl w:val="0"/>
          <w:numId w:val="2"/>
        </w:numPr>
        <w:spacing w:lineRule="auto" w:line="312"/>
        <w:ind w:left="0" w:right="0" w:firstLine="709"/>
        <w:jc w:val="both"/>
        <w:rPr>
          <w:color w:val="000000"/>
          <w:sz w:val="28"/>
        </w:rPr>
      </w:pPr>
      <w:r>
        <w:rPr>
          <w:color w:val="000000"/>
          <w:sz w:val="28"/>
        </w:rPr>
        <w:t>повышение качества автомобильных дорог регионального или межмуниципального значения в рамках реализации национального проекта «Безопасные качественные дороги»;</w:t>
      </w:r>
    </w:p>
    <w:p>
      <w:pPr>
        <w:pStyle w:val="Normal"/>
        <w:widowControl w:val="false"/>
        <w:numPr>
          <w:ilvl w:val="0"/>
          <w:numId w:val="2"/>
        </w:numPr>
        <w:spacing w:lineRule="auto" w:line="312"/>
        <w:ind w:left="0" w:right="0" w:firstLine="709"/>
        <w:jc w:val="both"/>
        <w:rPr>
          <w:color w:val="000000"/>
          <w:sz w:val="28"/>
        </w:rPr>
      </w:pPr>
      <w:r>
        <w:rPr>
          <w:color w:val="000000"/>
          <w:sz w:val="28"/>
        </w:rPr>
        <w:t>повышение качества дорожной сети городских агломераций в рамках реализации национального проекта «Безопасные качественные дороги»;</w:t>
      </w:r>
    </w:p>
    <w:p>
      <w:pPr>
        <w:pStyle w:val="Normal"/>
        <w:widowControl w:val="false"/>
        <w:numPr>
          <w:ilvl w:val="0"/>
          <w:numId w:val="2"/>
        </w:numPr>
        <w:spacing w:lineRule="auto" w:line="312"/>
        <w:ind w:left="0" w:right="0" w:firstLine="709"/>
        <w:jc w:val="both"/>
        <w:rPr>
          <w:color w:val="000000"/>
          <w:sz w:val="28"/>
        </w:rPr>
      </w:pPr>
      <w:r>
        <w:rPr>
          <w:color w:val="000000"/>
          <w:sz w:val="28"/>
        </w:rPr>
        <w:t>сохранение качественных характеристик внутренних водных путей;</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функционирования пунктов пропуска через государственную границу Российской Федерации;</w:t>
      </w:r>
    </w:p>
    <w:p>
      <w:pPr>
        <w:pStyle w:val="Normal"/>
        <w:widowControl w:val="false"/>
        <w:numPr>
          <w:ilvl w:val="0"/>
          <w:numId w:val="2"/>
        </w:numPr>
        <w:spacing w:lineRule="auto" w:line="312"/>
        <w:ind w:left="0" w:right="0" w:firstLine="709"/>
        <w:jc w:val="both"/>
        <w:rPr>
          <w:color w:val="000000"/>
          <w:sz w:val="28"/>
        </w:rPr>
      </w:pPr>
      <w:r>
        <w:rPr>
          <w:color w:val="000000"/>
          <w:sz w:val="28"/>
        </w:rPr>
        <w:t>повышение безопасности на воздушном транспорте;</w:t>
      </w:r>
    </w:p>
    <w:p>
      <w:pPr>
        <w:pStyle w:val="Normal"/>
        <w:widowControl w:val="false"/>
        <w:numPr>
          <w:ilvl w:val="0"/>
          <w:numId w:val="2"/>
        </w:numPr>
        <w:spacing w:lineRule="auto" w:line="312"/>
        <w:ind w:left="0" w:right="0" w:firstLine="709"/>
        <w:jc w:val="both"/>
        <w:rPr>
          <w:color w:val="000000"/>
          <w:sz w:val="28"/>
        </w:rPr>
      </w:pPr>
      <w:r>
        <w:rPr>
          <w:color w:val="000000"/>
          <w:sz w:val="28"/>
        </w:rPr>
        <w:t>функционирование системы контроля, предусматривающей применение средств идентификации (пломб), функционирующих на основе технологии глобальной навигационной спутниковой системы ГЛОНАСС с использованием Единой государственной информационной системы обеспечения транспортной безопасности;</w:t>
      </w:r>
    </w:p>
    <w:p>
      <w:pPr>
        <w:pStyle w:val="Normal"/>
        <w:widowControl w:val="false"/>
        <w:numPr>
          <w:ilvl w:val="0"/>
          <w:numId w:val="2"/>
        </w:numPr>
        <w:spacing w:lineRule="auto" w:line="312"/>
        <w:ind w:left="0" w:right="0" w:firstLine="709"/>
        <w:jc w:val="both"/>
        <w:rPr/>
      </w:pPr>
      <w:r>
        <w:rPr>
          <w:color w:val="000000"/>
          <w:sz w:val="28"/>
        </w:rPr>
        <w:t>реализация мероприятий ведомственной целевой программы «Цифровая платформа транспортного комплекса Российской Федерации»;</w:t>
      </w:r>
    </w:p>
    <w:p>
      <w:pPr>
        <w:pStyle w:val="Normal"/>
        <w:widowControl w:val="false"/>
        <w:numPr>
          <w:ilvl w:val="0"/>
          <w:numId w:val="2"/>
        </w:numPr>
        <w:spacing w:lineRule="auto" w:line="312"/>
        <w:ind w:left="0" w:right="0" w:firstLine="709"/>
        <w:jc w:val="both"/>
        <w:rPr>
          <w:color w:val="000000"/>
          <w:sz w:val="28"/>
        </w:rPr>
      </w:pPr>
      <w:r>
        <w:rPr>
          <w:color w:val="000000"/>
          <w:sz w:val="28"/>
        </w:rPr>
        <w:t>развитие интеллектуальных транспортных систем;</w:t>
      </w:r>
    </w:p>
    <w:p>
      <w:pPr>
        <w:pStyle w:val="Normal"/>
        <w:widowControl w:val="false"/>
        <w:numPr>
          <w:ilvl w:val="0"/>
          <w:numId w:val="2"/>
        </w:numPr>
        <w:spacing w:lineRule="auto" w:line="312"/>
        <w:ind w:left="0" w:right="0" w:firstLine="709"/>
        <w:jc w:val="both"/>
        <w:rPr>
          <w:color w:val="000000"/>
          <w:sz w:val="28"/>
        </w:rPr>
      </w:pPr>
      <w:r>
        <w:rPr>
          <w:color w:val="000000"/>
          <w:sz w:val="28"/>
        </w:rPr>
        <w:t>расширение интеграционного взаимодействия по линии отраслевых органов сотрудничества международных объединений и организаций – Содружества Независимых Государств, Союзного государства, Евразийского экономического союза;</w:t>
      </w:r>
    </w:p>
    <w:p>
      <w:pPr>
        <w:pStyle w:val="Normal"/>
        <w:widowControl w:val="false"/>
        <w:numPr>
          <w:ilvl w:val="0"/>
          <w:numId w:val="2"/>
        </w:numPr>
        <w:spacing w:lineRule="auto" w:line="312"/>
        <w:ind w:left="0" w:right="0" w:firstLine="709"/>
        <w:jc w:val="both"/>
        <w:rPr>
          <w:color w:val="000000"/>
          <w:sz w:val="28"/>
        </w:rPr>
      </w:pPr>
      <w:r>
        <w:rPr>
          <w:color w:val="000000"/>
          <w:sz w:val="28"/>
        </w:rPr>
        <w:t>включение в повестку дня международных организаций и форумов вопросов исходя из приоритетов развития транспортного комплекса Российской Федерации (цифровизация перевозочного процесса, развитие евро-азиатских транспортных связей, продвижение мультимодальности на транспорте, создание комфортной и безопасной городской среды, продвижение стандарта качества российского транспортного образования на международном рынке образовательных услуг, выработка механизма скоординированных действий министерств транспорта по противодействию чрезвычайным ситуациям межгосударственного характера, включая эпидемии и пандемии);</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продвижение в рамках рабочих групп по транспорту и межправительственных комиссий проектов и инициатив </w:t>
        <w:br/>
        <w:t>в области строительства и реконструкции транспортной инфраструктуры;</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модернизации системы подготовки кадров для транспортного комплекса.</w:t>
      </w:r>
    </w:p>
    <w:p>
      <w:pPr>
        <w:pStyle w:val="Normal"/>
        <w:widowControl w:val="false"/>
        <w:spacing w:lineRule="auto" w:line="312"/>
        <w:ind w:left="0" w:right="0" w:firstLine="709"/>
        <w:jc w:val="both"/>
        <w:rPr>
          <w:i/>
          <w:i/>
          <w:color w:val="000000"/>
          <w:sz w:val="28"/>
        </w:rPr>
      </w:pPr>
      <w:r>
        <w:rPr>
          <w:i/>
          <w:color w:val="000000"/>
          <w:sz w:val="28"/>
        </w:rPr>
        <w:t>Результаты решения задач в 2021 году:</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функционирования транспортного комплекса в соответствии с утвержденными Министерством транспорта Российской Федерации и Федеральной службой по надзору в сфере защиты прав потребителей и благополучия человека рекомендациями по санитарно-противоэпидемическим мероприятиям при перевозке пассажиров всеми видами транспорта и на объектах транспортной инфраструктуры;</w:t>
      </w:r>
    </w:p>
    <w:p>
      <w:pPr>
        <w:pStyle w:val="Normal"/>
        <w:widowControl w:val="false"/>
        <w:numPr>
          <w:ilvl w:val="0"/>
          <w:numId w:val="2"/>
        </w:numPr>
        <w:spacing w:lineRule="auto" w:line="312"/>
        <w:ind w:left="0" w:right="0" w:firstLine="709"/>
        <w:jc w:val="both"/>
        <w:rPr/>
      </w:pPr>
      <w:r>
        <w:rPr>
          <w:color w:val="000000"/>
          <w:sz w:val="28"/>
        </w:rPr>
        <w:t>обеспечение протяженности автомобильных дорог общего пользования федерального значения, соответствующих нормативным требованиям к транспортно-эксплуатационным показателям, на уровне 75 % от общей протяженности автомобильных дорог федерального значения с учетом Плана приема-передачи автомобильных дорог</w:t>
        <w:br/>
        <w:t>из одной формы собственности в другую;</w:t>
      </w:r>
    </w:p>
    <w:p>
      <w:pPr>
        <w:pStyle w:val="Normal"/>
        <w:widowControl w:val="false"/>
        <w:numPr>
          <w:ilvl w:val="0"/>
          <w:numId w:val="2"/>
        </w:numPr>
        <w:spacing w:lineRule="auto" w:line="312"/>
        <w:ind w:left="0" w:right="0" w:firstLine="709"/>
        <w:jc w:val="both"/>
        <w:rPr/>
      </w:pPr>
      <w:r>
        <w:rPr>
          <w:color w:val="000000"/>
          <w:sz w:val="28"/>
        </w:rPr>
        <w:t>обеспечение в рамках реализации национального проекта «Безопасные качественные дороги» доли автомобильных дорог регионального</w:t>
      </w:r>
      <w:r>
        <w:rPr>
          <w:color w:val="000000"/>
          <w:sz w:val="28"/>
          <w:shd w:fill="auto" w:val="clear"/>
        </w:rPr>
        <w:t xml:space="preserve">  и межмуниципального значения, соответствующих нормативным требованиям,</w:t>
        <w:br/>
        <w:t>на уровне не менее 45,8 % от общей протяженности;</w:t>
      </w:r>
    </w:p>
    <w:p>
      <w:pPr>
        <w:pStyle w:val="Normal"/>
        <w:widowControl w:val="false"/>
        <w:numPr>
          <w:ilvl w:val="0"/>
          <w:numId w:val="2"/>
        </w:numPr>
        <w:spacing w:lineRule="auto" w:line="312"/>
        <w:ind w:left="0" w:right="0" w:firstLine="709"/>
        <w:jc w:val="both"/>
        <w:rPr/>
      </w:pPr>
      <w:r>
        <w:rPr>
          <w:color w:val="000000"/>
          <w:sz w:val="28"/>
          <w:shd w:fill="auto" w:val="clear"/>
        </w:rPr>
        <w:t>обеспечение в рамках реализации национального проекта «Безопасные качественные дороги» доли протяженности дорожной сети городских агломераций, соответствующей нормативным требованиям к их транспортно-эксплуатационному состоянию, на уровне не менее 7</w:t>
      </w:r>
      <w:r>
        <w:rPr>
          <w:color w:val="000000"/>
          <w:sz w:val="28"/>
        </w:rPr>
        <w:t>3 % от общей протяженности;</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доли эксплуатируемых внутренних водных путей с освещаемой и отражательной обстановкой</w:t>
        <w:br/>
        <w:t>на уровне 38,3 %;</w:t>
      </w:r>
    </w:p>
    <w:p>
      <w:pPr>
        <w:pStyle w:val="Normal"/>
        <w:widowControl w:val="false"/>
        <w:numPr>
          <w:ilvl w:val="0"/>
          <w:numId w:val="2"/>
        </w:numPr>
        <w:spacing w:lineRule="auto" w:line="312"/>
        <w:ind w:left="0" w:right="0" w:firstLine="709"/>
        <w:jc w:val="both"/>
        <w:rPr>
          <w:color w:val="000000"/>
          <w:sz w:val="28"/>
        </w:rPr>
      </w:pPr>
      <w:r>
        <w:rPr>
          <w:color w:val="000000"/>
          <w:sz w:val="28"/>
        </w:rPr>
        <w:t>функционирование 313 пунктов пропуска через государственную границу Российской Федерации;</w:t>
      </w:r>
    </w:p>
    <w:p>
      <w:pPr>
        <w:pStyle w:val="Normal"/>
        <w:widowControl w:val="false"/>
        <w:numPr>
          <w:ilvl w:val="0"/>
          <w:numId w:val="2"/>
        </w:numPr>
        <w:spacing w:lineRule="auto" w:line="312"/>
        <w:ind w:left="0" w:right="0" w:firstLine="709"/>
        <w:jc w:val="both"/>
        <w:rPr>
          <w:color w:val="000000"/>
          <w:sz w:val="28"/>
        </w:rPr>
      </w:pPr>
      <w:r>
        <w:rPr>
          <w:color w:val="000000"/>
          <w:sz w:val="28"/>
        </w:rPr>
        <w:t>создание и начало осуществления деятельности Международного бюро по расследованию авиационных происшествий и серьезных инцидентов;</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применения средств идентификации (пломб), функционирующих на основе технологии глобальной навигационной спутниковой системы ГЛОНАСС при осуществлении транзитных перевозок отдельных видов грузов через территорию Российской Федерации;</w:t>
      </w:r>
    </w:p>
    <w:p>
      <w:pPr>
        <w:pStyle w:val="Normal"/>
        <w:widowControl w:val="false"/>
        <w:numPr>
          <w:ilvl w:val="0"/>
          <w:numId w:val="2"/>
        </w:numPr>
        <w:spacing w:lineRule="auto" w:line="312"/>
        <w:ind w:left="0" w:right="0" w:firstLine="709"/>
        <w:jc w:val="both"/>
        <w:rPr>
          <w:color w:val="000000"/>
          <w:sz w:val="28"/>
        </w:rPr>
      </w:pPr>
      <w:r>
        <w:rPr>
          <w:color w:val="000000"/>
          <w:sz w:val="28"/>
        </w:rPr>
        <w:t>обеспечение количества характеризующих состояние транспортной системы показателей, обрабатываемых</w:t>
        <w:br/>
        <w:t>в централизованном банке данных информационно-аналитической системы регулирования на транспорте (АСУ ТК),</w:t>
        <w:br/>
        <w:t>в объеме 1400 единиц;</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обеспечение количества субъектов транспортной деятельности, подключенных к единому защищенному закрытому информационному пространству в сфере обеспечения безопасности населения на транспорте, в объеме </w:t>
        <w:br/>
        <w:t>3000 единиц;</w:t>
      </w:r>
    </w:p>
    <w:p>
      <w:pPr>
        <w:pStyle w:val="Normal"/>
        <w:widowControl w:val="false"/>
        <w:numPr>
          <w:ilvl w:val="0"/>
          <w:numId w:val="2"/>
        </w:numPr>
        <w:spacing w:lineRule="auto" w:line="312"/>
        <w:ind w:left="0" w:right="0" w:firstLine="709"/>
        <w:jc w:val="both"/>
        <w:rPr/>
      </w:pPr>
      <w:r>
        <w:rPr>
          <w:color w:val="000000"/>
          <w:sz w:val="28"/>
        </w:rPr>
        <w:t xml:space="preserve"> </w:t>
      </w:r>
      <w:r>
        <w:rPr>
          <w:color w:val="000000"/>
          <w:sz w:val="28"/>
        </w:rPr>
        <w:t>разработка Концепции создания и функционирования национальной сети ИТС на автомобильных дорогах общего пользования;</w:t>
      </w:r>
    </w:p>
    <w:p>
      <w:pPr>
        <w:pStyle w:val="Normal"/>
        <w:widowControl w:val="false"/>
        <w:numPr>
          <w:ilvl w:val="0"/>
          <w:numId w:val="2"/>
        </w:numPr>
        <w:spacing w:lineRule="auto" w:line="312"/>
        <w:ind w:left="0" w:right="0" w:firstLine="709"/>
        <w:jc w:val="both"/>
        <w:rPr>
          <w:color w:val="000000"/>
          <w:sz w:val="28"/>
        </w:rPr>
      </w:pPr>
      <w:r>
        <w:rPr>
          <w:color w:val="000000"/>
          <w:sz w:val="28"/>
        </w:rPr>
        <w:t xml:space="preserve">реализация Приоритетных направлений и первоочередных задач дальнейшего развития Союзного государства </w:t>
        <w:br/>
        <w:t>на 2018−2022 год и Плана мероприятий по формированию и функционированию объединенной транспортной системы Союзного государства на 2019−2021 год;</w:t>
      </w:r>
    </w:p>
    <w:p>
      <w:pPr>
        <w:pStyle w:val="Normal"/>
        <w:widowControl w:val="false"/>
        <w:numPr>
          <w:ilvl w:val="0"/>
          <w:numId w:val="2"/>
        </w:numPr>
        <w:spacing w:lineRule="auto" w:line="312"/>
        <w:ind w:left="0" w:right="0" w:firstLine="709"/>
        <w:jc w:val="both"/>
        <w:rPr>
          <w:color w:val="000000"/>
          <w:sz w:val="28"/>
        </w:rPr>
      </w:pPr>
      <w:r>
        <w:rPr>
          <w:color w:val="000000"/>
          <w:sz w:val="28"/>
        </w:rPr>
        <w:t>выполнение планов мероприятий («дорожных карт») по реализации Основных направлений и этапов скоординированной (согласованной) транспортной политики государств-членов Евразийского экономического союза;</w:t>
      </w:r>
    </w:p>
    <w:p>
      <w:pPr>
        <w:pStyle w:val="Normal"/>
        <w:widowControl w:val="false"/>
        <w:numPr>
          <w:ilvl w:val="0"/>
          <w:numId w:val="2"/>
        </w:numPr>
        <w:spacing w:lineRule="auto" w:line="312"/>
        <w:ind w:left="0" w:right="0" w:firstLine="709"/>
        <w:jc w:val="both"/>
        <w:rPr>
          <w:color w:val="000000"/>
          <w:sz w:val="28"/>
        </w:rPr>
      </w:pPr>
      <w:r>
        <w:rPr>
          <w:color w:val="000000"/>
          <w:sz w:val="28"/>
        </w:rPr>
        <w:t>принятие/одобрение в рамках международных организаций и форумов итоговых документов, отражающих приоритеты российского транспортного комплекса;</w:t>
      </w:r>
    </w:p>
    <w:p>
      <w:pPr>
        <w:pStyle w:val="Normal"/>
        <w:widowControl w:val="false"/>
        <w:numPr>
          <w:ilvl w:val="0"/>
          <w:numId w:val="2"/>
        </w:numPr>
        <w:spacing w:lineRule="auto" w:line="312"/>
        <w:ind w:left="0" w:right="0" w:firstLine="709"/>
        <w:jc w:val="both"/>
        <w:rPr>
          <w:color w:val="000000"/>
          <w:sz w:val="28"/>
        </w:rPr>
      </w:pPr>
      <w:r>
        <w:rPr>
          <w:color w:val="000000"/>
          <w:sz w:val="28"/>
        </w:rPr>
        <w:t>формирование плана реализации Концепции подготовки кадров для транспортного комплекса до 2035 года, утвержденной распоряжением Правительства Российской Федерации от 6 февраля 2021 г. № 255-р.</w:t>
      </w:r>
    </w:p>
    <w:p>
      <w:pPr>
        <w:pStyle w:val="Normal"/>
        <w:widowControl w:val="false"/>
        <w:spacing w:lineRule="auto" w:line="312"/>
        <w:ind w:left="0" w:right="0" w:firstLine="709"/>
        <w:jc w:val="both"/>
        <w:rPr>
          <w:b/>
          <w:b/>
          <w:color w:val="000000"/>
          <w:sz w:val="28"/>
        </w:rPr>
      </w:pPr>
      <w:r>
        <w:rPr>
          <w:b/>
          <w:color w:val="000000"/>
          <w:sz w:val="28"/>
        </w:rPr>
        <w:t>IV. Перечень документов стратегического планирования, по которым федеральный орган исполнительной власти является ответственным исполнителем или соисполнителем, с указанием ожидаемых результатов деятельности федерального органа исполнительной власти в планируемый период их реализации</w:t>
      </w:r>
    </w:p>
    <w:p>
      <w:pPr>
        <w:pStyle w:val="Normal"/>
        <w:spacing w:lineRule="auto" w:line="312"/>
        <w:ind w:left="0" w:right="0" w:firstLine="709"/>
        <w:jc w:val="both"/>
        <w:rPr>
          <w:color w:val="000000"/>
          <w:sz w:val="28"/>
        </w:rPr>
      </w:pPr>
      <w:r>
        <w:rPr>
          <w:color w:val="000000"/>
          <w:sz w:val="28"/>
        </w:rPr>
        <w:t>1. Основные направления деятельности Правительства Российской Федерации на период до 2024 года, утвержденные Правительством Российской Федерации 29.09.2018 № 8028п-П13.</w:t>
      </w:r>
    </w:p>
    <w:p>
      <w:pPr>
        <w:pStyle w:val="Normal"/>
        <w:spacing w:lineRule="auto" w:line="312"/>
        <w:ind w:left="0" w:right="0" w:firstLine="709"/>
        <w:jc w:val="both"/>
        <w:rPr>
          <w:color w:val="000000"/>
          <w:sz w:val="28"/>
        </w:rPr>
      </w:pPr>
      <w:r>
        <w:rPr>
          <w:color w:val="000000"/>
          <w:sz w:val="28"/>
        </w:rPr>
        <w:t>Ожидаемыми результатами в части компетенции Минтранса России являются:</w:t>
      </w:r>
    </w:p>
    <w:p>
      <w:pPr>
        <w:pStyle w:val="Normal"/>
        <w:spacing w:lineRule="auto" w:line="312"/>
        <w:ind w:left="0" w:right="0" w:firstLine="709"/>
        <w:jc w:val="both"/>
        <w:rPr>
          <w:color w:val="000000"/>
          <w:sz w:val="28"/>
        </w:rPr>
      </w:pPr>
      <w:r>
        <w:rPr>
          <w:color w:val="000000"/>
          <w:sz w:val="28"/>
        </w:rPr>
        <w:t xml:space="preserve">модернизация, электрификация и расширение магистральной инфраструктуры транспортных коридоров </w:t>
        <w:br/>
        <w:t>«Запад – Восток» и «Север – Юг», строительство и модернизация российских участков автомобильных дорог транспортного маршрута «Европа – Западный Китай»;</w:t>
      </w:r>
    </w:p>
    <w:p>
      <w:pPr>
        <w:pStyle w:val="Normal"/>
        <w:spacing w:lineRule="auto" w:line="312"/>
        <w:ind w:left="0" w:right="0" w:firstLine="709"/>
        <w:jc w:val="both"/>
        <w:rPr>
          <w:color w:val="000000"/>
          <w:sz w:val="28"/>
        </w:rPr>
      </w:pPr>
      <w:r>
        <w:rPr>
          <w:color w:val="000000"/>
          <w:sz w:val="28"/>
        </w:rPr>
        <w:t>увеличение объема транзитных перевозок контейнеров железнодорожным транспортом в четыре раза;</w:t>
      </w:r>
    </w:p>
    <w:p>
      <w:pPr>
        <w:pStyle w:val="Normal"/>
        <w:spacing w:lineRule="auto" w:line="312"/>
        <w:ind w:left="0" w:right="0" w:firstLine="709"/>
        <w:jc w:val="both"/>
        <w:rPr>
          <w:color w:val="000000"/>
          <w:sz w:val="28"/>
        </w:rPr>
      </w:pPr>
      <w:r>
        <w:rPr>
          <w:color w:val="000000"/>
          <w:sz w:val="28"/>
        </w:rPr>
        <w:t>увеличение мощностей морских портов Российской Федерации, развитие Северного морского пути и увеличение грузопотока по нему до 80 млн. тонн;</w:t>
      </w:r>
    </w:p>
    <w:p>
      <w:pPr>
        <w:pStyle w:val="Normal"/>
        <w:spacing w:lineRule="auto" w:line="312"/>
        <w:ind w:left="0" w:right="0" w:firstLine="709"/>
        <w:jc w:val="both"/>
        <w:rPr/>
      </w:pPr>
      <w:r>
        <w:rPr>
          <w:color w:val="000000"/>
          <w:sz w:val="28"/>
        </w:rPr>
        <w:t>увеличение провозной способности Байкало-Амурской и Транссибирской железнодорожных магистралей</w:t>
        <w:br/>
        <w:t>до</w:t>
      </w:r>
      <w:r>
        <w:rPr>
          <w:color w:val="000000"/>
          <w:sz w:val="28"/>
          <w:shd w:fill="auto" w:val="clear"/>
        </w:rPr>
        <w:t xml:space="preserve"> </w:t>
      </w:r>
      <w:r>
        <w:rPr>
          <w:rFonts w:eastAsia="Tahoma" w:cs="Droid Sans Devanagari"/>
          <w:color w:val="000000"/>
          <w:spacing w:val="0"/>
          <w:kern w:val="0"/>
          <w:sz w:val="28"/>
          <w:szCs w:val="20"/>
          <w:shd w:fill="auto" w:val="clear"/>
          <w:lang w:val="ru-RU" w:eastAsia="zh-CN" w:bidi="hi-IN"/>
        </w:rPr>
        <w:t>180</w:t>
      </w:r>
      <w:r>
        <w:rPr>
          <w:color w:val="000000"/>
          <w:sz w:val="28"/>
          <w:shd w:fill="auto" w:val="clear"/>
        </w:rPr>
        <w:t xml:space="preserve"> </w:t>
      </w:r>
      <w:r>
        <w:rPr>
          <w:color w:val="000000"/>
          <w:sz w:val="28"/>
        </w:rPr>
        <w:t>млн. тонн;</w:t>
      </w:r>
    </w:p>
    <w:p>
      <w:pPr>
        <w:pStyle w:val="Normal"/>
        <w:spacing w:lineRule="auto" w:line="312"/>
        <w:ind w:left="0" w:right="0" w:firstLine="709"/>
        <w:jc w:val="both"/>
        <w:rPr>
          <w:color w:val="000000"/>
          <w:sz w:val="28"/>
        </w:rPr>
      </w:pPr>
      <w:r>
        <w:rPr>
          <w:color w:val="000000"/>
          <w:sz w:val="28"/>
        </w:rPr>
        <w:t>формирование опорной сети узловых мультимодальных транспортно-логистических центров;</w:t>
      </w:r>
    </w:p>
    <w:p>
      <w:pPr>
        <w:pStyle w:val="Normal"/>
        <w:spacing w:lineRule="auto" w:line="312"/>
        <w:ind w:left="0" w:right="0" w:firstLine="709"/>
        <w:jc w:val="both"/>
        <w:rPr>
          <w:color w:val="000000"/>
          <w:sz w:val="28"/>
        </w:rPr>
      </w:pPr>
      <w:r>
        <w:rPr>
          <w:color w:val="000000"/>
          <w:sz w:val="28"/>
        </w:rPr>
        <w:t>поэтапное развитие транспортных коммуникаций между административными центрами субъектов Российской Федерации и другими городами – центрами экономического роста с их автодорожными обходами, путепроводами через железные дороги и мостовыми переходами и ликвидация иных, прежде всего энергетических инфраструктурных ограничений на имеющих перспективы развития территориях, прилегающих к таким транспортным коммуникациям;</w:t>
      </w:r>
    </w:p>
    <w:p>
      <w:pPr>
        <w:pStyle w:val="Normal"/>
        <w:spacing w:lineRule="auto" w:line="312"/>
        <w:ind w:left="0" w:right="0" w:firstLine="709"/>
        <w:jc w:val="both"/>
        <w:rPr>
          <w:color w:val="000000"/>
          <w:sz w:val="28"/>
        </w:rPr>
      </w:pPr>
      <w:r>
        <w:rPr>
          <w:color w:val="000000"/>
          <w:sz w:val="28"/>
        </w:rPr>
        <w:t>реконструкция инфраструктуры региональных аэропортов и расширение сети межрегиональных регулярных пассажирских авиационных маршрутов, минующих г. Москву, до 50 процентов общего количества внутренних регулярных авиационных маршрутов.</w:t>
      </w:r>
    </w:p>
    <w:p>
      <w:pPr>
        <w:pStyle w:val="Normal"/>
        <w:spacing w:lineRule="auto" w:line="312"/>
        <w:ind w:left="0" w:right="0" w:firstLine="709"/>
        <w:jc w:val="both"/>
        <w:rPr>
          <w:color w:val="000000"/>
          <w:sz w:val="28"/>
        </w:rPr>
      </w:pPr>
      <w:r>
        <w:rPr>
          <w:color w:val="000000"/>
          <w:sz w:val="28"/>
        </w:rPr>
        <w:t xml:space="preserve">2. Транспортная стратегия Российской Федерации на период до 2030 года, утвержденная распоряжением Правительства Российской Федерации от 22.11.2008 № 1734-р. </w:t>
      </w:r>
    </w:p>
    <w:p>
      <w:pPr>
        <w:pStyle w:val="Normal"/>
        <w:spacing w:lineRule="auto" w:line="312"/>
        <w:ind w:left="0" w:right="0" w:firstLine="709"/>
        <w:jc w:val="both"/>
        <w:rPr>
          <w:color w:val="000000"/>
          <w:sz w:val="28"/>
        </w:rPr>
      </w:pPr>
      <w:r>
        <w:rPr>
          <w:color w:val="000000"/>
          <w:sz w:val="28"/>
        </w:rPr>
        <w:t>Ожидаемыми результатами являются: создание условий для экономического роста, повышение конкурентоспособности национальной экономики и качества жизни населения путем обеспечения доступа к безопасным и качественным транспортным услугам, превращение географических особенностей России в ее конкурентное преимущество.</w:t>
      </w:r>
    </w:p>
    <w:p>
      <w:pPr>
        <w:pStyle w:val="Normal"/>
        <w:spacing w:lineRule="auto" w:line="312"/>
        <w:ind w:left="0" w:right="0" w:firstLine="709"/>
        <w:jc w:val="both"/>
        <w:rPr/>
      </w:pPr>
      <w:r>
        <w:rPr>
          <w:color w:val="000000"/>
          <w:sz w:val="28"/>
          <w:shd w:fill="auto" w:val="clear"/>
        </w:rPr>
        <w:t xml:space="preserve">3. Транспортная стратегия Российской Федерации до 2030 года с прогнозом на период до 2035 года, утвержденная распоряжением Правительства Российской Федерации от </w:t>
      </w:r>
      <w:r>
        <w:rPr>
          <w:rFonts w:eastAsia="Tahoma" w:cs="Droid Sans Devanagari"/>
          <w:b w:val="false"/>
          <w:bCs w:val="false"/>
          <w:color w:val="000000"/>
          <w:spacing w:val="0"/>
          <w:kern w:val="0"/>
          <w:sz w:val="28"/>
          <w:szCs w:val="20"/>
          <w:shd w:fill="auto" w:val="clear"/>
          <w:lang w:val="ru-RU" w:eastAsia="zh-CN" w:bidi="hi-IN"/>
        </w:rPr>
        <w:t>27</w:t>
      </w:r>
      <w:r>
        <w:rPr>
          <w:b w:val="false"/>
          <w:bCs w:val="false"/>
          <w:color w:val="000000"/>
          <w:sz w:val="28"/>
          <w:shd w:fill="auto" w:val="clear"/>
        </w:rPr>
        <w:t>.11.20</w:t>
      </w:r>
      <w:r>
        <w:rPr>
          <w:rFonts w:eastAsia="Tahoma" w:cs="Droid Sans Devanagari"/>
          <w:b w:val="false"/>
          <w:bCs w:val="false"/>
          <w:color w:val="000000"/>
          <w:spacing w:val="0"/>
          <w:kern w:val="0"/>
          <w:sz w:val="28"/>
          <w:szCs w:val="20"/>
          <w:shd w:fill="auto" w:val="clear"/>
          <w:lang w:val="ru-RU" w:eastAsia="zh-CN" w:bidi="hi-IN"/>
        </w:rPr>
        <w:t>21</w:t>
      </w:r>
      <w:r>
        <w:rPr>
          <w:b w:val="false"/>
          <w:bCs w:val="false"/>
          <w:color w:val="000000"/>
          <w:sz w:val="28"/>
          <w:shd w:fill="auto" w:val="clear"/>
        </w:rPr>
        <w:t xml:space="preserve"> № 3363-р. </w:t>
      </w:r>
    </w:p>
    <w:p>
      <w:pPr>
        <w:pStyle w:val="Normal"/>
        <w:widowControl w:val="false"/>
        <w:spacing w:lineRule="auto" w:line="312"/>
        <w:ind w:left="0" w:right="0" w:firstLine="709"/>
        <w:jc w:val="both"/>
        <w:rPr>
          <w:color w:val="000000"/>
          <w:sz w:val="28"/>
          <w:shd w:fill="auto" w:val="clear"/>
        </w:rPr>
      </w:pPr>
      <w:r>
        <w:rPr>
          <w:color w:val="000000"/>
          <w:sz w:val="28"/>
          <w:shd w:fill="auto" w:val="clear"/>
        </w:rPr>
        <w:t>Ожидаемыми результатами являются: создание условий для повышения качества жизни и здоровья граждан, экономического роста и повышения конкурентоспособности национальной экономики, укрепления безопасности и обороноспособности страны, реализации ее транспортного потенциала через опережающее развитие транспортной инфраструктуры и расширение доступа к безопасным и качественным транспортным услугам с минимальным воздействием на окружающую среду и климат, использование географических особенностей Российской Федерации в качестве ее конкурентного преимущества.</w:t>
      </w:r>
    </w:p>
    <w:p>
      <w:pPr>
        <w:pStyle w:val="Normal"/>
        <w:widowControl w:val="false"/>
        <w:spacing w:lineRule="auto" w:line="312"/>
        <w:ind w:left="0" w:right="0" w:firstLine="709"/>
        <w:jc w:val="both"/>
        <w:rPr/>
      </w:pPr>
      <w:r>
        <w:rPr>
          <w:rFonts w:eastAsia="Tahoma" w:cs="Droid Sans Devanagari"/>
          <w:color w:val="000000"/>
          <w:spacing w:val="0"/>
          <w:kern w:val="0"/>
          <w:sz w:val="28"/>
          <w:szCs w:val="20"/>
          <w:lang w:val="ru-RU" w:eastAsia="zh-CN" w:bidi="hi-IN"/>
        </w:rPr>
        <w:t>4</w:t>
      </w:r>
      <w:r>
        <w:rPr>
          <w:color w:val="000000"/>
          <w:sz w:val="28"/>
        </w:rPr>
        <w:t>. Стратегия развития внутреннего водного транспорта на период до 2030 года, утвержденная распоряжением Правительства Российской Федерации от 29.02.2016 № 327-р.</w:t>
      </w:r>
    </w:p>
    <w:p>
      <w:pPr>
        <w:pStyle w:val="Normal"/>
        <w:widowControl w:val="false"/>
        <w:spacing w:lineRule="auto" w:line="312"/>
        <w:ind w:left="0" w:right="0" w:firstLine="709"/>
        <w:jc w:val="both"/>
        <w:rPr>
          <w:color w:val="000000"/>
          <w:sz w:val="28"/>
        </w:rPr>
      </w:pPr>
      <w:r>
        <w:rPr>
          <w:color w:val="000000"/>
          <w:sz w:val="28"/>
        </w:rPr>
        <w:t>Ожидаемыми результатами являются: усиление позиций внутреннего водного транспорта в транспортной системе страны, обеспечение роста инвестиционной привлекательности и конкурентоспособности предприятий отрасли, реализация потенциальных возможностей внутренних водных путей для снижения грузонапряженности автомобильных и железных дорог на параллельных направлениях доставки массовых грузов, рост экспортных и транзитных перевозок.</w:t>
        <w:br/>
        <w:t>Это положительно повлияет на снижение негативного воздействия транспортной системы на окружающую среду, обеспечение доступности и качества перевозок пассажиров, прежде всего на социально значимых маршрутах.</w:t>
      </w:r>
    </w:p>
    <w:p>
      <w:pPr>
        <w:pStyle w:val="Normal"/>
        <w:spacing w:lineRule="auto" w:line="312"/>
        <w:ind w:left="0" w:right="0" w:firstLine="709"/>
        <w:jc w:val="both"/>
        <w:rPr/>
      </w:pPr>
      <w:r>
        <w:rPr>
          <w:rFonts w:eastAsia="Tahoma" w:cs="Droid Sans Devanagari"/>
          <w:color w:val="000000"/>
          <w:spacing w:val="0"/>
          <w:kern w:val="0"/>
          <w:sz w:val="28"/>
          <w:szCs w:val="20"/>
          <w:lang w:val="ru-RU" w:eastAsia="zh-CN" w:bidi="hi-IN"/>
        </w:rPr>
        <w:t>5</w:t>
      </w:r>
      <w:r>
        <w:rPr>
          <w:color w:val="000000"/>
          <w:sz w:val="28"/>
        </w:rPr>
        <w:t xml:space="preserve">. Государственная программа Российской Федерации «Развитие транспортной системы», утвержденная постановлением Правительства Российской Федерации от 20.12.2017 № 1596. </w:t>
      </w:r>
    </w:p>
    <w:p>
      <w:pPr>
        <w:pStyle w:val="Normal"/>
        <w:widowControl w:val="false"/>
        <w:spacing w:lineRule="auto" w:line="312"/>
        <w:ind w:left="0" w:right="0" w:firstLine="709"/>
        <w:jc w:val="both"/>
        <w:rPr>
          <w:color w:val="000000"/>
          <w:sz w:val="28"/>
        </w:rPr>
      </w:pPr>
      <w:r>
        <w:rPr>
          <w:color w:val="000000"/>
          <w:sz w:val="28"/>
        </w:rPr>
        <w:t xml:space="preserve">Ответственный исполнитель – Министерство транспорта Российской Федерации. </w:t>
      </w:r>
    </w:p>
    <w:p>
      <w:pPr>
        <w:pStyle w:val="Normal"/>
        <w:widowControl w:val="false"/>
        <w:spacing w:lineRule="auto" w:line="312"/>
        <w:ind w:left="0" w:right="0" w:firstLine="709"/>
        <w:jc w:val="both"/>
        <w:rPr>
          <w:color w:val="000000"/>
          <w:sz w:val="28"/>
        </w:rPr>
      </w:pPr>
      <w:r>
        <w:rPr>
          <w:color w:val="000000"/>
          <w:sz w:val="28"/>
        </w:rPr>
        <w:t>Реализация мероприятий государственной программы будет способствовать достижению целей государственной транспортной политики и создаст инфраструктурные условия для социально-экономического развития страны. Инвестиции в развитие транспортной инфраструктуры будут формировать дополнительный спрос, как на продукцию фондообразующих отраслей, так и на сырье и материалы в процессе строительства и, соответственно, на новые рабочие места, что будет способствовать перераспределению ресурсов и рабочей силы в отрасли, способные обеспечить долгосрочный экономический рост и повышение деловой активности.</w:t>
      </w:r>
    </w:p>
    <w:p>
      <w:pPr>
        <w:pStyle w:val="Normal"/>
        <w:spacing w:lineRule="auto" w:line="312"/>
        <w:ind w:left="0" w:right="0" w:firstLine="709"/>
        <w:jc w:val="both"/>
        <w:rPr/>
      </w:pPr>
      <w:r>
        <w:rPr>
          <w:rFonts w:eastAsia="Tahoma" w:cs="Droid Sans Devanagari"/>
          <w:color w:val="000000"/>
          <w:spacing w:val="0"/>
          <w:kern w:val="0"/>
          <w:sz w:val="28"/>
          <w:szCs w:val="20"/>
          <w:lang w:val="ru-RU" w:eastAsia="zh-CN" w:bidi="hi-IN"/>
        </w:rPr>
        <w:t>6</w:t>
      </w:r>
      <w:r>
        <w:rPr>
          <w:color w:val="000000"/>
          <w:sz w:val="28"/>
        </w:rPr>
        <w:t>. Государственная программа Российской Федерации «Социально-экономическое развитие Калининградской области», утвержденная постановлением Правительства Российской Федерации от 15.04.2014 № 311.</w:t>
      </w:r>
    </w:p>
    <w:p>
      <w:pPr>
        <w:pStyle w:val="Normal"/>
        <w:widowControl w:val="false"/>
        <w:spacing w:lineRule="auto" w:line="312"/>
        <w:ind w:left="0" w:right="0" w:firstLine="709"/>
        <w:jc w:val="both"/>
        <w:rPr>
          <w:color w:val="000000"/>
          <w:sz w:val="28"/>
        </w:rPr>
      </w:pPr>
      <w:r>
        <w:rPr>
          <w:color w:val="000000"/>
          <w:sz w:val="28"/>
        </w:rPr>
        <w:t>Ответственный исполнитель – Министерство экономического развития Российской Федерации.</w:t>
      </w:r>
    </w:p>
    <w:p>
      <w:pPr>
        <w:pStyle w:val="Normal"/>
        <w:widowControl w:val="false"/>
        <w:spacing w:lineRule="auto" w:line="312"/>
        <w:ind w:left="0" w:right="0" w:firstLine="709"/>
        <w:jc w:val="both"/>
        <w:rPr>
          <w:color w:val="000000"/>
          <w:sz w:val="28"/>
        </w:rPr>
      </w:pPr>
      <w:r>
        <w:rPr>
          <w:color w:val="000000"/>
          <w:sz w:val="28"/>
        </w:rPr>
        <w:t xml:space="preserve">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развитие опорной транспортной инфраструктуры области, в том числе реализация мероприятий по развитию региональных дорог. </w:t>
      </w:r>
    </w:p>
    <w:p>
      <w:pPr>
        <w:pStyle w:val="Normal"/>
        <w:widowControl w:val="false"/>
        <w:spacing w:lineRule="auto" w:line="312"/>
        <w:ind w:left="0" w:right="0" w:firstLine="709"/>
        <w:jc w:val="both"/>
        <w:rPr/>
      </w:pPr>
      <w:r>
        <w:rPr>
          <w:rFonts w:eastAsia="Tahoma" w:cs="Droid Sans Devanagari"/>
          <w:color w:val="000000"/>
          <w:spacing w:val="0"/>
          <w:kern w:val="0"/>
          <w:sz w:val="28"/>
          <w:szCs w:val="20"/>
          <w:lang w:val="ru-RU" w:eastAsia="zh-CN" w:bidi="hi-IN"/>
        </w:rPr>
        <w:t>7</w:t>
      </w:r>
      <w:r>
        <w:rPr>
          <w:color w:val="000000"/>
          <w:sz w:val="28"/>
        </w:rPr>
        <w:t>. Государственная программа развити</w:t>
      </w:r>
      <w:r>
        <w:rPr>
          <w:rFonts w:eastAsia="Tahoma" w:cs="Droid Sans Devanagari"/>
          <w:color w:val="000000"/>
          <w:spacing w:val="0"/>
          <w:kern w:val="0"/>
          <w:sz w:val="28"/>
          <w:szCs w:val="20"/>
          <w:lang w:val="ru-RU" w:eastAsia="zh-CN" w:bidi="hi-IN"/>
        </w:rPr>
        <w:t>я</w:t>
      </w:r>
      <w:r>
        <w:rPr>
          <w:color w:val="000000"/>
          <w:sz w:val="28"/>
        </w:rPr>
        <w:t xml:space="preserve"> сельского хозяйства и регулирования рынков сельскохозяйственной продукции, сырья и продовольствия, утвержденная постановлением Правительства Российской Федерации от 14.07.2012</w:t>
        <w:br/>
        <w:t>№ 717.</w:t>
      </w:r>
    </w:p>
    <w:p>
      <w:pPr>
        <w:pStyle w:val="Normal"/>
        <w:widowControl w:val="false"/>
        <w:spacing w:lineRule="auto" w:line="312"/>
        <w:ind w:left="0" w:right="0" w:firstLine="709"/>
        <w:jc w:val="both"/>
        <w:rPr>
          <w:color w:val="000000"/>
          <w:sz w:val="28"/>
        </w:rPr>
      </w:pPr>
      <w:r>
        <w:rPr>
          <w:color w:val="000000"/>
          <w:sz w:val="28"/>
        </w:rPr>
        <w:t xml:space="preserve">Ответственный исполнитель – Министерство сельского хозяйства Российской Федерации. </w:t>
      </w:r>
    </w:p>
    <w:p>
      <w:pPr>
        <w:pStyle w:val="Normal"/>
        <w:widowControl w:val="false"/>
        <w:spacing w:lineRule="auto" w:line="312"/>
        <w:ind w:left="0" w:right="0" w:firstLine="709"/>
        <w:jc w:val="both"/>
        <w:rPr>
          <w:color w:val="000000"/>
          <w:sz w:val="28"/>
        </w:rPr>
      </w:pPr>
      <w:r>
        <w:rPr>
          <w:color w:val="000000"/>
          <w:sz w:val="28"/>
        </w:rPr>
        <w:t>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повышение уровня комплексного обустройства населенных пунктов, расположенных в сельской местности, автомобильными дорогами общего пользования с твердым покрытием, ведущими от сети автомобильных дорог общего пользования к ближайшим общественно значимым объектам, а также к объектам производства и переработки сельскохозяйственной продукции.</w:t>
      </w:r>
    </w:p>
    <w:p>
      <w:pPr>
        <w:pStyle w:val="Normal"/>
        <w:widowControl w:val="false"/>
        <w:spacing w:lineRule="auto" w:line="312"/>
        <w:ind w:left="0" w:right="0" w:firstLine="709"/>
        <w:jc w:val="both"/>
        <w:rPr/>
      </w:pPr>
      <w:r>
        <w:rPr>
          <w:rFonts w:eastAsia="Tahoma" w:cs="Droid Sans Devanagari"/>
          <w:color w:val="000000"/>
          <w:spacing w:val="0"/>
          <w:kern w:val="0"/>
          <w:sz w:val="28"/>
          <w:szCs w:val="20"/>
          <w:lang w:val="ru-RU" w:eastAsia="zh-CN" w:bidi="hi-IN"/>
        </w:rPr>
        <w:t>8</w:t>
      </w:r>
      <w:r>
        <w:rPr>
          <w:color w:val="000000"/>
          <w:sz w:val="28"/>
        </w:rPr>
        <w:t>. Государственная программа Российской Федерации «Развитие образования», утвержденная постановлением Правительства Российской Федерации от 26.12.2017 № 1642.</w:t>
      </w:r>
    </w:p>
    <w:p>
      <w:pPr>
        <w:pStyle w:val="Normal"/>
        <w:widowControl w:val="false"/>
        <w:spacing w:lineRule="auto" w:line="312"/>
        <w:ind w:left="0" w:right="0" w:firstLine="709"/>
        <w:jc w:val="both"/>
        <w:rPr>
          <w:color w:val="000000"/>
          <w:sz w:val="28"/>
        </w:rPr>
      </w:pPr>
      <w:r>
        <w:rPr>
          <w:color w:val="000000"/>
          <w:sz w:val="28"/>
        </w:rPr>
        <w:t>Ответственный исполнитель – Министерство просвещения Российской Федерации.</w:t>
      </w:r>
    </w:p>
    <w:p>
      <w:pPr>
        <w:pStyle w:val="Normal"/>
        <w:widowControl w:val="false"/>
        <w:spacing w:lineRule="auto" w:line="312"/>
        <w:ind w:left="0" w:right="0" w:firstLine="709"/>
        <w:jc w:val="both"/>
        <w:rPr>
          <w:color w:val="000000"/>
          <w:sz w:val="28"/>
        </w:rPr>
      </w:pPr>
      <w:r>
        <w:rPr>
          <w:color w:val="000000"/>
          <w:sz w:val="28"/>
        </w:rPr>
        <w:t>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повышение эффективности и безопасности транспортной системы на базе развития отраслевой системы образования, повышения уровня кадрового обеспечения транспортной деятельности.</w:t>
      </w:r>
    </w:p>
    <w:p>
      <w:pPr>
        <w:pStyle w:val="Normal"/>
        <w:widowControl w:val="false"/>
        <w:spacing w:lineRule="auto" w:line="312"/>
        <w:ind w:left="0" w:right="0" w:firstLine="709"/>
        <w:jc w:val="both"/>
        <w:rPr/>
      </w:pPr>
      <w:r>
        <w:rPr>
          <w:rFonts w:eastAsia="Tahoma" w:cs="Droid Sans Devanagari"/>
          <w:color w:val="000000"/>
          <w:spacing w:val="0"/>
          <w:kern w:val="0"/>
          <w:sz w:val="28"/>
          <w:szCs w:val="20"/>
          <w:lang w:val="ru-RU" w:eastAsia="zh-CN" w:bidi="hi-IN"/>
        </w:rPr>
        <w:t>9</w:t>
      </w:r>
      <w:r>
        <w:rPr>
          <w:color w:val="000000"/>
          <w:sz w:val="28"/>
        </w:rPr>
        <w:t xml:space="preserve">. Государственная программа Российской Федерации «Обеспечение общественного порядка и противодействие преступности» (в части федеральной целевой программы «Повышение безопасности дорожного движения </w:t>
        <w:br/>
        <w:t>в 2013 - 2020 годах»), утвержденная постановлением Правительства Российской Федерации от 15.04.2014 № 345.</w:t>
      </w:r>
    </w:p>
    <w:p>
      <w:pPr>
        <w:pStyle w:val="Normal"/>
        <w:widowControl w:val="false"/>
        <w:spacing w:lineRule="auto" w:line="312"/>
        <w:ind w:left="0" w:right="0" w:firstLine="709"/>
        <w:jc w:val="both"/>
        <w:rPr>
          <w:color w:val="000000"/>
          <w:sz w:val="28"/>
        </w:rPr>
      </w:pPr>
      <w:r>
        <w:rPr>
          <w:color w:val="000000"/>
          <w:sz w:val="28"/>
        </w:rPr>
        <w:t xml:space="preserve">Ответственный исполнитель – Министерство внутренних дел Российской Федерации. </w:t>
      </w:r>
    </w:p>
    <w:p>
      <w:pPr>
        <w:pStyle w:val="Normal"/>
        <w:widowControl w:val="false"/>
        <w:spacing w:lineRule="auto" w:line="312"/>
        <w:ind w:left="0" w:right="0" w:firstLine="709"/>
        <w:jc w:val="both"/>
        <w:rPr>
          <w:color w:val="000000"/>
          <w:sz w:val="28"/>
        </w:rPr>
      </w:pPr>
      <w:r>
        <w:rPr>
          <w:color w:val="000000"/>
          <w:sz w:val="28"/>
        </w:rPr>
        <w:t xml:space="preserve">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повышение безопасности дорожного движения на основе реализации мероприятий по обустройству пересечений и мест концентрации дорожно-транспортных происшествий. </w:t>
      </w:r>
    </w:p>
    <w:p>
      <w:pPr>
        <w:pStyle w:val="Normal"/>
        <w:widowControl w:val="false"/>
        <w:spacing w:lineRule="auto" w:line="312"/>
        <w:ind w:left="0" w:right="0" w:firstLine="709"/>
        <w:jc w:val="both"/>
        <w:rPr/>
      </w:pPr>
      <w:r>
        <w:rPr>
          <w:rFonts w:eastAsia="Tahoma" w:cs="Droid Sans Devanagari"/>
          <w:color w:val="000000"/>
          <w:spacing w:val="0"/>
          <w:kern w:val="0"/>
          <w:sz w:val="28"/>
          <w:szCs w:val="20"/>
          <w:lang w:val="ru-RU" w:eastAsia="zh-CN" w:bidi="hi-IN"/>
        </w:rPr>
        <w:t>10</w:t>
      </w:r>
      <w:r>
        <w:rPr>
          <w:color w:val="000000"/>
          <w:sz w:val="28"/>
        </w:rPr>
        <w:t xml:space="preserve">. </w:t>
      </w:r>
      <w:r>
        <w:rPr>
          <w:color w:val="000000"/>
          <w:sz w:val="28"/>
          <w:shd w:fill="auto" w:val="clear"/>
        </w:rPr>
        <w:t>Государственная программа Российской Федерации «Космическая деятельность России» (в части подпрограммы «Поддержание, развитие и использование системы ГЛОНАСС»), утвержденная постановлением Правительства Российской Федерации от 15.04.2014 № 306.</w:t>
      </w:r>
    </w:p>
    <w:p>
      <w:pPr>
        <w:pStyle w:val="Normal"/>
        <w:widowControl w:val="false"/>
        <w:spacing w:lineRule="auto" w:line="312"/>
        <w:ind w:left="0" w:right="0" w:firstLine="709"/>
        <w:jc w:val="both"/>
        <w:rPr>
          <w:color w:val="000000"/>
          <w:sz w:val="28"/>
        </w:rPr>
      </w:pPr>
      <w:r>
        <w:rPr>
          <w:color w:val="000000"/>
          <w:sz w:val="28"/>
        </w:rPr>
        <w:t>Ответственный исполнитель – Государственная корпорация по космической деятельности «Роскосмос».</w:t>
      </w:r>
    </w:p>
    <w:p>
      <w:pPr>
        <w:pStyle w:val="Normal"/>
        <w:widowControl w:val="false"/>
        <w:spacing w:lineRule="auto" w:line="312"/>
        <w:ind w:left="0" w:right="0" w:firstLine="709"/>
        <w:jc w:val="both"/>
        <w:rPr>
          <w:color w:val="000000"/>
          <w:sz w:val="28"/>
        </w:rPr>
      </w:pPr>
      <w:r>
        <w:rPr>
          <w:color w:val="000000"/>
          <w:sz w:val="28"/>
        </w:rPr>
        <w:t xml:space="preserve">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повышение комплексной безопасности на транспорте на основе совершенствования информационно-навигационного обеспечения транспорта на базе использования системы ГЛОНАСС, включая формирование нормативно-технического и нормативно-правового обеспечения внедрения системы. </w:t>
      </w:r>
    </w:p>
    <w:p>
      <w:pPr>
        <w:pStyle w:val="Normal"/>
        <w:widowControl w:val="false"/>
        <w:spacing w:lineRule="auto" w:line="312"/>
        <w:ind w:left="0" w:right="0" w:firstLine="709"/>
        <w:jc w:val="both"/>
        <w:rPr/>
      </w:pPr>
      <w:r>
        <w:rPr>
          <w:color w:val="000000"/>
          <w:sz w:val="28"/>
        </w:rPr>
        <w:t>1</w:t>
      </w:r>
      <w:r>
        <w:rPr>
          <w:rFonts w:eastAsia="Tahoma" w:cs="Droid Sans Devanagari"/>
          <w:color w:val="000000"/>
          <w:spacing w:val="0"/>
          <w:kern w:val="0"/>
          <w:sz w:val="28"/>
          <w:szCs w:val="20"/>
          <w:lang w:val="ru-RU" w:eastAsia="zh-CN" w:bidi="hi-IN"/>
        </w:rPr>
        <w:t>1</w:t>
      </w:r>
      <w:r>
        <w:rPr>
          <w:color w:val="000000"/>
          <w:sz w:val="28"/>
        </w:rPr>
        <w:t>. Государственная программа Российской Федерации «Развитие внешнеэкономической деятельности», утвержденная постановлением Правительства Российской Федерации от 15.04.2014 № 330.</w:t>
      </w:r>
    </w:p>
    <w:p>
      <w:pPr>
        <w:pStyle w:val="Normal"/>
        <w:widowControl w:val="false"/>
        <w:spacing w:lineRule="auto" w:line="312"/>
        <w:ind w:left="0" w:right="0" w:firstLine="709"/>
        <w:jc w:val="both"/>
        <w:rPr>
          <w:color w:val="000000"/>
          <w:sz w:val="28"/>
        </w:rPr>
      </w:pPr>
      <w:r>
        <w:rPr>
          <w:color w:val="000000"/>
          <w:sz w:val="28"/>
        </w:rPr>
        <w:t>Ответственный исполнитель – Министерство экономического развития Российской Федерации.</w:t>
      </w:r>
    </w:p>
    <w:p>
      <w:pPr>
        <w:pStyle w:val="Normal"/>
        <w:widowControl w:val="false"/>
        <w:spacing w:lineRule="auto" w:line="312"/>
        <w:ind w:left="0" w:right="0" w:firstLine="709"/>
        <w:jc w:val="both"/>
        <w:rPr>
          <w:color w:val="000000"/>
          <w:sz w:val="28"/>
        </w:rPr>
      </w:pPr>
      <w:r>
        <w:rPr>
          <w:color w:val="000000"/>
          <w:sz w:val="28"/>
        </w:rPr>
        <w:t>Результатом реализации государственной программы в рамках компетенции Минтранса России является создание благоприятных условий в пунктах пропуска для обеспечения внешнеэкономической деятельности, перемещения через государственную границу грузов и пересечения ее физическими лицами.</w:t>
      </w:r>
    </w:p>
    <w:p>
      <w:pPr>
        <w:pStyle w:val="Normal"/>
        <w:widowControl w:val="false"/>
        <w:spacing w:lineRule="auto" w:line="312"/>
        <w:ind w:left="0" w:right="0" w:firstLine="709"/>
        <w:jc w:val="both"/>
        <w:rPr/>
      </w:pPr>
      <w:r>
        <w:rPr>
          <w:color w:val="000000"/>
          <w:sz w:val="28"/>
        </w:rPr>
        <w:t>12. Г</w:t>
      </w:r>
      <w:r>
        <w:rPr>
          <w:b w:val="false"/>
          <w:color w:val="000000"/>
          <w:sz w:val="28"/>
          <w:szCs w:val="28"/>
        </w:rPr>
        <w:t xml:space="preserve">осударственная программа Российской Федерации «Социально-экономическое развитие Дальневосточного федерального округа» (в части федеральной целевой программы «Социально-экономическое </w:t>
      </w:r>
      <w:r>
        <w:rPr>
          <w:color w:val="000000"/>
          <w:sz w:val="28"/>
        </w:rPr>
        <w:t xml:space="preserve">развитие Курильских островов (Сахалинская область) </w:t>
      </w:r>
      <w:r>
        <w:rPr>
          <w:b w:val="false"/>
          <w:color w:val="000000"/>
          <w:sz w:val="28"/>
          <w:szCs w:val="28"/>
        </w:rPr>
        <w:t>на 2016 - 2025 годы»), утвержденная п</w:t>
      </w:r>
      <w:r>
        <w:rPr>
          <w:b w:val="false"/>
          <w:sz w:val="28"/>
          <w:szCs w:val="28"/>
        </w:rPr>
        <w:t>остановлением Правительства Российской Федерации</w:t>
        <w:br/>
        <w:t>от 15.04.2014 № 308.</w:t>
      </w:r>
    </w:p>
    <w:p>
      <w:pPr>
        <w:pStyle w:val="Normal"/>
        <w:widowControl w:val="false"/>
        <w:spacing w:lineRule="auto" w:line="312"/>
        <w:ind w:left="0" w:right="0" w:firstLine="709"/>
        <w:jc w:val="both"/>
        <w:rPr>
          <w:b w:val="false"/>
          <w:b w:val="false"/>
          <w:sz w:val="28"/>
          <w:szCs w:val="28"/>
        </w:rPr>
      </w:pPr>
      <w:r>
        <w:rPr>
          <w:b w:val="false"/>
          <w:sz w:val="28"/>
          <w:szCs w:val="28"/>
        </w:rPr>
        <w:t xml:space="preserve">Ответственный исполнитель – Министерство Российской Федерации по развитию Дальнего Востока и Арктики. </w:t>
      </w:r>
    </w:p>
    <w:p>
      <w:pPr>
        <w:pStyle w:val="Normal"/>
        <w:widowControl w:val="false"/>
        <w:spacing w:lineRule="auto" w:line="312"/>
        <w:ind w:left="0" w:right="0" w:firstLine="709"/>
        <w:jc w:val="both"/>
        <w:rPr>
          <w:b w:val="false"/>
          <w:b w:val="false"/>
          <w:sz w:val="28"/>
          <w:szCs w:val="28"/>
        </w:rPr>
      </w:pPr>
      <w:r>
        <w:rPr>
          <w:b w:val="false"/>
          <w:sz w:val="28"/>
          <w:szCs w:val="28"/>
        </w:rPr>
        <w:t>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развитие транспортных и коммуникационных связей, включая обеспечение бесперебойного пассажирского и грузового сообщения между Курильскими островами, островом Сахалин, материком и полуостровом Камчатка.</w:t>
      </w:r>
    </w:p>
    <w:p>
      <w:pPr>
        <w:pStyle w:val="Normal"/>
        <w:widowControl w:val="false"/>
        <w:spacing w:lineRule="auto" w:line="312"/>
        <w:ind w:left="0" w:right="0" w:firstLine="709"/>
        <w:jc w:val="both"/>
        <w:rPr>
          <w:b w:val="false"/>
          <w:b w:val="false"/>
          <w:sz w:val="28"/>
          <w:szCs w:val="28"/>
        </w:rPr>
      </w:pPr>
      <w:r>
        <w:rPr>
          <w:b w:val="false"/>
          <w:sz w:val="28"/>
          <w:szCs w:val="28"/>
        </w:rPr>
        <w:t>13. Государственная программа Российской Федерации «Научно-технологическое развитие Российской Федерации», утвержденная постановлением Правительства Российской Федерации от 29.03.2019 № 377.</w:t>
      </w:r>
    </w:p>
    <w:p>
      <w:pPr>
        <w:pStyle w:val="Normal"/>
        <w:widowControl w:val="false"/>
        <w:spacing w:lineRule="auto" w:line="312"/>
        <w:ind w:left="0" w:right="0" w:firstLine="709"/>
        <w:jc w:val="both"/>
        <w:rPr>
          <w:b w:val="false"/>
          <w:b w:val="false"/>
          <w:sz w:val="28"/>
          <w:szCs w:val="28"/>
        </w:rPr>
      </w:pPr>
      <w:r>
        <w:rPr>
          <w:b w:val="false"/>
          <w:sz w:val="28"/>
          <w:szCs w:val="28"/>
        </w:rPr>
        <w:t>Ответственный исполнитель – Министерство науки и высшего образования Российской Федерации.</w:t>
      </w:r>
    </w:p>
    <w:p>
      <w:pPr>
        <w:pStyle w:val="Normal"/>
        <w:widowControl w:val="false"/>
        <w:spacing w:lineRule="auto" w:line="312"/>
        <w:ind w:left="0" w:right="0" w:firstLine="709"/>
        <w:jc w:val="both"/>
        <w:rPr/>
      </w:pPr>
      <w:r>
        <w:rPr>
          <w:b w:val="false"/>
          <w:sz w:val="28"/>
          <w:szCs w:val="28"/>
        </w:rPr>
        <w:t xml:space="preserve">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повышение эффективности и безопасности транспортной системы, основанное на развитии системы непрерывного образования на базе образовательных организаций высшего образования и передовых научных исследований </w:t>
      </w:r>
      <w:r>
        <w:rPr>
          <w:rFonts w:eastAsia="Tahoma" w:cs="Droid Sans Devanagari"/>
          <w:b w:val="false"/>
          <w:color w:val="000000"/>
          <w:spacing w:val="0"/>
          <w:kern w:val="0"/>
          <w:sz w:val="28"/>
          <w:szCs w:val="28"/>
          <w:lang w:val="ru-RU" w:eastAsia="zh-CN" w:bidi="hi-IN"/>
        </w:rPr>
        <w:t>в области транспорта</w:t>
      </w:r>
      <w:r>
        <w:rPr>
          <w:b w:val="false"/>
          <w:sz w:val="28"/>
          <w:szCs w:val="28"/>
        </w:rPr>
        <w:t>.</w:t>
      </w:r>
    </w:p>
    <w:p>
      <w:pPr>
        <w:pStyle w:val="Normal"/>
        <w:widowControl w:val="false"/>
        <w:spacing w:lineRule="auto" w:line="312"/>
        <w:ind w:left="0" w:right="0" w:firstLine="709"/>
        <w:jc w:val="both"/>
        <w:rPr/>
      </w:pPr>
      <w:r>
        <w:rPr>
          <w:sz w:val="28"/>
          <w:szCs w:val="28"/>
        </w:rPr>
        <w:t>1</w:t>
      </w:r>
      <w:r>
        <w:rPr>
          <w:rFonts w:eastAsia="Tahoma" w:cs="Droid Sans Devanagari"/>
          <w:color w:val="000000"/>
          <w:spacing w:val="0"/>
          <w:kern w:val="0"/>
          <w:sz w:val="28"/>
          <w:szCs w:val="28"/>
          <w:lang w:val="ru-RU" w:eastAsia="zh-CN" w:bidi="hi-IN"/>
        </w:rPr>
        <w:t>4</w:t>
      </w:r>
      <w:r>
        <w:rPr>
          <w:sz w:val="28"/>
          <w:szCs w:val="28"/>
        </w:rPr>
        <w:t>. Г</w:t>
      </w:r>
      <w:r>
        <w:rPr>
          <w:b w:val="false"/>
          <w:sz w:val="28"/>
          <w:szCs w:val="28"/>
        </w:rPr>
        <w:t>осударственная программа Российской Федерации «Развитие судостроения и техники для освоения шельфовых месторождений», утвержденн</w:t>
      </w:r>
      <w:r>
        <w:rPr>
          <w:rFonts w:eastAsia="Tahoma" w:cs="Droid Sans Devanagari"/>
          <w:b w:val="false"/>
          <w:color w:val="000000"/>
          <w:spacing w:val="0"/>
          <w:kern w:val="0"/>
          <w:sz w:val="28"/>
          <w:szCs w:val="28"/>
          <w:lang w:val="ru-RU" w:eastAsia="zh-CN" w:bidi="hi-IN"/>
        </w:rPr>
        <w:t>ая</w:t>
      </w:r>
      <w:r>
        <w:rPr>
          <w:b w:val="false"/>
          <w:sz w:val="28"/>
          <w:szCs w:val="28"/>
        </w:rPr>
        <w:t xml:space="preserve"> постановлением Правительства Российской Федерации от 15.04.2014 г. № 304.</w:t>
      </w:r>
    </w:p>
    <w:p>
      <w:pPr>
        <w:pStyle w:val="Normal"/>
        <w:widowControl w:val="false"/>
        <w:spacing w:lineRule="auto" w:line="312"/>
        <w:ind w:left="0" w:right="0" w:firstLine="709"/>
        <w:jc w:val="both"/>
        <w:rPr>
          <w:b w:val="false"/>
          <w:b w:val="false"/>
          <w:sz w:val="28"/>
          <w:szCs w:val="28"/>
        </w:rPr>
      </w:pPr>
      <w:r>
        <w:rPr>
          <w:b w:val="false"/>
          <w:sz w:val="28"/>
          <w:szCs w:val="28"/>
        </w:rPr>
        <w:t>Ответственный исполнитель – Министерство промышленности и торговли Российской Федерации.</w:t>
      </w:r>
    </w:p>
    <w:p>
      <w:pPr>
        <w:pStyle w:val="Normal"/>
        <w:widowControl w:val="false"/>
        <w:spacing w:lineRule="auto" w:line="312"/>
        <w:ind w:left="0" w:right="0" w:firstLine="709"/>
        <w:jc w:val="both"/>
        <w:rPr/>
      </w:pPr>
      <w:r>
        <w:rPr>
          <w:b w:val="false"/>
          <w:sz w:val="28"/>
          <w:szCs w:val="28"/>
        </w:rPr>
        <w:t xml:space="preserve">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w:t>
      </w:r>
      <w:r>
        <w:rPr>
          <w:rFonts w:eastAsia="Tahoma" w:cs="Droid Sans Devanagari"/>
          <w:b w:val="false"/>
          <w:color w:val="000000"/>
          <w:spacing w:val="0"/>
          <w:kern w:val="0"/>
          <w:sz w:val="28"/>
          <w:szCs w:val="28"/>
          <w:lang w:val="ru-RU" w:eastAsia="zh-CN" w:bidi="hi-IN"/>
        </w:rPr>
        <w:t>п</w:t>
      </w:r>
      <w:r>
        <w:rPr>
          <w:b w:val="false"/>
          <w:sz w:val="28"/>
          <w:szCs w:val="28"/>
        </w:rPr>
        <w:t>редоставление государственной поддержки российским транспортным компаниям, пароходствам в целях</w:t>
      </w:r>
      <w:r>
        <w:rPr>
          <w:rFonts w:eastAsia="Tahoma" w:cs="Droid Sans Devanagari"/>
          <w:b w:val="false"/>
          <w:color w:val="000000"/>
          <w:spacing w:val="0"/>
          <w:kern w:val="0"/>
          <w:sz w:val="28"/>
          <w:szCs w:val="28"/>
          <w:lang w:val="ru-RU" w:eastAsia="zh-CN" w:bidi="hi-IN"/>
        </w:rPr>
        <w:t xml:space="preserve"> приобретения гражданских судов и (или) утилизации отдельных групп судов.</w:t>
      </w:r>
    </w:p>
    <w:p>
      <w:pPr>
        <w:pStyle w:val="Normal"/>
        <w:widowControl w:val="false"/>
        <w:spacing w:lineRule="auto" w:line="312"/>
        <w:ind w:left="0" w:right="0" w:firstLine="709"/>
        <w:jc w:val="both"/>
        <w:rPr>
          <w:rFonts w:eastAsia="Tahoma" w:cs="Droid Sans Devanagari"/>
          <w:b w:val="false"/>
          <w:b w:val="false"/>
          <w:color w:val="000000"/>
          <w:spacing w:val="0"/>
          <w:kern w:val="0"/>
          <w:sz w:val="28"/>
          <w:szCs w:val="28"/>
          <w:lang w:val="ru-RU" w:eastAsia="zh-CN" w:bidi="hi-IN"/>
        </w:rPr>
      </w:pPr>
      <w:r>
        <w:rPr>
          <w:rFonts w:eastAsia="Tahoma" w:cs="Droid Sans Devanagari"/>
          <w:b w:val="false"/>
          <w:color w:val="000000"/>
          <w:spacing w:val="0"/>
          <w:kern w:val="0"/>
          <w:sz w:val="28"/>
          <w:szCs w:val="28"/>
          <w:lang w:val="ru-RU" w:eastAsia="zh-CN" w:bidi="hi-IN"/>
        </w:rPr>
        <w:t>15. Государственная программа Российской Федерации «Развитие атомного энергопромышленного комплекса», утвержденная постановлением Правительства Российской Федерации от 02.06.2014 № 506-12.</w:t>
      </w:r>
    </w:p>
    <w:p>
      <w:pPr>
        <w:pStyle w:val="Normal"/>
        <w:widowControl w:val="false"/>
        <w:spacing w:lineRule="auto" w:line="312"/>
        <w:ind w:left="0" w:right="0" w:firstLine="709"/>
        <w:jc w:val="both"/>
        <w:rPr>
          <w:rFonts w:eastAsia="Tahoma" w:cs="Droid Sans Devanagari"/>
          <w:b w:val="false"/>
          <w:b w:val="false"/>
          <w:color w:val="000000"/>
          <w:spacing w:val="0"/>
          <w:kern w:val="0"/>
          <w:sz w:val="28"/>
          <w:szCs w:val="28"/>
          <w:lang w:val="ru-RU" w:eastAsia="zh-CN" w:bidi="hi-IN"/>
        </w:rPr>
      </w:pPr>
      <w:r>
        <w:rPr>
          <w:rFonts w:eastAsia="Tahoma" w:cs="Droid Sans Devanagari"/>
          <w:b w:val="false"/>
          <w:color w:val="000000"/>
          <w:spacing w:val="0"/>
          <w:kern w:val="0"/>
          <w:sz w:val="28"/>
          <w:szCs w:val="28"/>
          <w:lang w:val="ru-RU" w:eastAsia="zh-CN" w:bidi="hi-IN"/>
        </w:rPr>
        <w:t>Ответственный исполнитель – Государственная корпорация по атомной энергии «Росатом».</w:t>
      </w:r>
    </w:p>
    <w:p>
      <w:pPr>
        <w:pStyle w:val="Normal"/>
        <w:widowControl w:val="false"/>
        <w:spacing w:lineRule="auto" w:line="312"/>
        <w:ind w:left="0" w:right="0" w:firstLine="709"/>
        <w:jc w:val="both"/>
        <w:rPr>
          <w:rFonts w:eastAsia="Tahoma" w:cs="Droid Sans Devanagari"/>
          <w:b w:val="false"/>
          <w:b w:val="false"/>
          <w:color w:val="000000"/>
          <w:spacing w:val="0"/>
          <w:kern w:val="0"/>
          <w:sz w:val="28"/>
          <w:szCs w:val="28"/>
          <w:lang w:val="ru-RU" w:eastAsia="zh-CN" w:bidi="hi-IN"/>
        </w:rPr>
      </w:pPr>
      <w:r>
        <w:rPr>
          <w:rFonts w:eastAsia="Tahoma" w:cs="Droid Sans Devanagari"/>
          <w:b w:val="false"/>
          <w:color w:val="000000"/>
          <w:spacing w:val="0"/>
          <w:kern w:val="0"/>
          <w:sz w:val="28"/>
          <w:szCs w:val="28"/>
          <w:lang w:val="ru-RU" w:eastAsia="zh-CN" w:bidi="hi-IN"/>
        </w:rPr>
        <w:t>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развитие транспортных коридоров «Запад - Восток» и «Север - Юг» для перевозки грузов, в том числе за счет развития Северного морского пути и увеличения грузопотока по нему.</w:t>
      </w:r>
    </w:p>
    <w:p>
      <w:pPr>
        <w:pStyle w:val="Normal"/>
        <w:widowControl w:val="false"/>
        <w:spacing w:lineRule="auto" w:line="312"/>
        <w:ind w:left="0" w:right="0" w:firstLine="709"/>
        <w:jc w:val="both"/>
        <w:rPr>
          <w:rFonts w:eastAsia="Tahoma" w:cs="Droid Sans Devanagari"/>
          <w:b w:val="false"/>
          <w:b w:val="false"/>
          <w:color w:val="000000"/>
          <w:spacing w:val="0"/>
          <w:kern w:val="0"/>
          <w:sz w:val="28"/>
          <w:szCs w:val="28"/>
          <w:lang w:val="ru-RU" w:eastAsia="zh-CN" w:bidi="hi-IN"/>
        </w:rPr>
      </w:pPr>
      <w:r>
        <w:rPr>
          <w:rFonts w:eastAsia="Tahoma" w:cs="Droid Sans Devanagari"/>
          <w:b w:val="false"/>
          <w:color w:val="000000"/>
          <w:spacing w:val="0"/>
          <w:kern w:val="0"/>
          <w:sz w:val="28"/>
          <w:szCs w:val="28"/>
          <w:lang w:val="ru-RU" w:eastAsia="zh-CN" w:bidi="hi-IN"/>
        </w:rPr>
        <w:t>16. Государственная программа Российской Федерации «Комплексное развитие сельских территорий», утвержденная постановлением Правительства Российской Федерации от 31.05.2019 № 696.</w:t>
      </w:r>
    </w:p>
    <w:p>
      <w:pPr>
        <w:pStyle w:val="Normal"/>
        <w:widowControl w:val="false"/>
        <w:spacing w:lineRule="auto" w:line="312"/>
        <w:ind w:left="0" w:right="0" w:firstLine="709"/>
        <w:jc w:val="both"/>
        <w:rPr>
          <w:rFonts w:eastAsia="Tahoma" w:cs="Droid Sans Devanagari"/>
          <w:b w:val="false"/>
          <w:b w:val="false"/>
          <w:color w:val="000000"/>
          <w:spacing w:val="0"/>
          <w:kern w:val="0"/>
          <w:sz w:val="28"/>
          <w:szCs w:val="28"/>
          <w:lang w:val="ru-RU" w:eastAsia="zh-CN" w:bidi="hi-IN"/>
        </w:rPr>
      </w:pPr>
      <w:r>
        <w:rPr>
          <w:rFonts w:eastAsia="Tahoma" w:cs="Droid Sans Devanagari"/>
          <w:b w:val="false"/>
          <w:color w:val="000000"/>
          <w:spacing w:val="0"/>
          <w:kern w:val="0"/>
          <w:sz w:val="28"/>
          <w:szCs w:val="28"/>
          <w:lang w:val="ru-RU" w:eastAsia="zh-CN" w:bidi="hi-IN"/>
        </w:rPr>
        <w:t>Ответственный исполнитель – Министерство сельского хозяйства Российской Федерации.</w:t>
      </w:r>
    </w:p>
    <w:p>
      <w:pPr>
        <w:pStyle w:val="Normal"/>
        <w:widowControl w:val="false"/>
        <w:spacing w:lineRule="auto" w:line="312"/>
        <w:ind w:left="0" w:right="0" w:firstLine="709"/>
        <w:jc w:val="both"/>
        <w:rPr>
          <w:rFonts w:eastAsia="Tahoma" w:cs="Droid Sans Devanagari"/>
          <w:b w:val="false"/>
          <w:b w:val="false"/>
          <w:color w:val="000000"/>
          <w:spacing w:val="0"/>
          <w:kern w:val="0"/>
          <w:sz w:val="28"/>
          <w:szCs w:val="28"/>
          <w:lang w:val="ru-RU" w:eastAsia="zh-CN" w:bidi="hi-IN"/>
        </w:rPr>
      </w:pPr>
      <w:r>
        <w:rPr>
          <w:rFonts w:eastAsia="Tahoma" w:cs="Droid Sans Devanagari"/>
          <w:b w:val="false"/>
          <w:color w:val="000000"/>
          <w:spacing w:val="0"/>
          <w:kern w:val="0"/>
          <w:sz w:val="28"/>
          <w:szCs w:val="28"/>
          <w:lang w:val="ru-RU" w:eastAsia="zh-CN" w:bidi="hi-IN"/>
        </w:rPr>
        <w:t>Результатом реализации государственной программы в рамках компетенции Минтранса России и подведомственных ему федеральных органов исполнительной власти является улучшение транспортной инфраструктуры сельских территорий, характеризующееся строительством и приведением в соответствие нормативным требованиям автомобильных дорог общего пользования.</w:t>
      </w:r>
    </w:p>
    <w:p>
      <w:pPr>
        <w:sectPr>
          <w:headerReference w:type="default" r:id="rId7"/>
          <w:headerReference w:type="first" r:id="rId8"/>
          <w:footerReference w:type="default" r:id="rId9"/>
          <w:footnotePr>
            <w:numFmt w:val="decimal"/>
          </w:footnotePr>
          <w:type w:val="nextPage"/>
          <w:pgSz w:orient="landscape" w:w="16838" w:h="11906"/>
          <w:pgMar w:left="1134" w:right="567" w:header="708" w:top="851" w:footer="585" w:bottom="709" w:gutter="0"/>
          <w:pgNumType w:start="1" w:fmt="decimal"/>
          <w:formProt w:val="false"/>
          <w:titlePg/>
          <w:textDirection w:val="lrTb"/>
          <w:docGrid w:type="default" w:linePitch="100" w:charSpace="0"/>
        </w:sectPr>
      </w:pPr>
    </w:p>
    <w:p>
      <w:pPr>
        <w:pStyle w:val="Normal"/>
        <w:jc w:val="both"/>
        <w:rPr>
          <w:rFonts w:ascii="Times New Roman" w:hAnsi="Times New Roman"/>
          <w:b w:val="false"/>
          <w:b w:val="false"/>
          <w:sz w:val="28"/>
          <w:szCs w:val="28"/>
          <w:shd w:fill="auto" w:val="clear"/>
        </w:rPr>
      </w:pPr>
      <w:r>
        <w:rPr>
          <w:b w:val="false"/>
          <w:sz w:val="28"/>
          <w:szCs w:val="28"/>
          <w:shd w:fill="auto" w:val="clear"/>
        </w:rPr>
      </w:r>
    </w:p>
    <w:p>
      <w:pPr>
        <w:sectPr>
          <w:footnotePr>
            <w:numFmt w:val="decimal"/>
          </w:footnotePr>
          <w:type w:val="continuous"/>
          <w:pgSz w:orient="landscape" w:w="16838" w:h="11906"/>
          <w:pgMar w:left="1134" w:right="567" w:header="708" w:top="851" w:footer="585" w:bottom="709" w:gutter="0"/>
          <w:formProt w:val="false"/>
          <w:textDirection w:val="lrTb"/>
          <w:docGrid w:type="default" w:linePitch="100" w:charSpace="0"/>
        </w:sectPr>
      </w:pPr>
    </w:p>
    <w:p>
      <w:pPr>
        <w:pStyle w:val="Normal"/>
        <w:jc w:val="both"/>
        <w:rPr>
          <w:rFonts w:ascii="Times New Roman" w:hAnsi="Times New Roman"/>
          <w:b w:val="false"/>
          <w:b w:val="false"/>
          <w:sz w:val="28"/>
          <w:szCs w:val="28"/>
          <w:shd w:fill="auto" w:val="clear"/>
        </w:rPr>
      </w:pPr>
      <w:r>
        <w:rPr>
          <w:b w:val="false"/>
          <w:sz w:val="28"/>
          <w:szCs w:val="28"/>
          <w:shd w:fill="auto" w:val="clear"/>
        </w:rPr>
      </w:r>
    </w:p>
    <w:p>
      <w:pPr>
        <w:sectPr>
          <w:footnotePr>
            <w:numFmt w:val="decimal"/>
          </w:footnotePr>
          <w:type w:val="continuous"/>
          <w:pgSz w:orient="landscape" w:w="16838" w:h="11906"/>
          <w:pgMar w:left="1134" w:right="567" w:header="708" w:top="851" w:footer="585" w:bottom="709" w:gutter="0"/>
          <w:formProt w:val="false"/>
          <w:textDirection w:val="lrTb"/>
          <w:docGrid w:type="default" w:linePitch="100" w:charSpace="0"/>
        </w:sectPr>
      </w:pPr>
    </w:p>
    <w:p>
      <w:pPr>
        <w:pStyle w:val="Normal"/>
        <w:widowControl w:val="false"/>
        <w:suppressAutoHyphens w:val="true"/>
        <w:overflowPunct w:val="true"/>
        <w:bidi w:val="0"/>
        <w:spacing w:lineRule="auto" w:line="312" w:before="0" w:after="0"/>
        <w:ind w:left="0" w:right="0" w:firstLine="737"/>
        <w:jc w:val="both"/>
        <w:rPr/>
      </w:pPr>
      <w:r>
        <w:rPr>
          <w:color w:val="000000"/>
          <w:sz w:val="28"/>
          <w:shd w:fill="auto" w:val="clear"/>
        </w:rPr>
        <w:t>1</w:t>
      </w:r>
      <w:r>
        <w:rPr>
          <w:rFonts w:eastAsia="Tahoma" w:cs="Droid Sans Devanagari"/>
          <w:color w:val="000000"/>
          <w:spacing w:val="0"/>
          <w:kern w:val="0"/>
          <w:sz w:val="28"/>
          <w:szCs w:val="20"/>
          <w:shd w:fill="auto" w:val="clear"/>
          <w:lang w:val="ru-RU" w:eastAsia="zh-CN" w:bidi="hi-IN"/>
        </w:rPr>
        <w:t>7</w:t>
      </w:r>
      <w:r>
        <w:rPr>
          <w:color w:val="000000"/>
          <w:sz w:val="28"/>
          <w:shd w:fill="auto" w:val="clear"/>
        </w:rPr>
        <w:t>. Государственная программа Российской Федерации «Социально-экономическое развитие Республики Крым</w:t>
        <w:br/>
        <w:t>и г. Севастополя» (в части федеральной целевой программы «Социально-экономическое развитие Республики Крым</w:t>
        <w:br/>
        <w:t>и г. Севастополя до 202</w:t>
      </w:r>
      <w:r>
        <w:rPr>
          <w:rFonts w:eastAsia="Tahoma" w:cs="Droid Sans Devanagari"/>
          <w:color w:val="000000"/>
          <w:spacing w:val="0"/>
          <w:kern w:val="0"/>
          <w:sz w:val="28"/>
          <w:szCs w:val="20"/>
          <w:shd w:fill="auto" w:val="clear"/>
          <w:lang w:val="ru-RU" w:eastAsia="zh-CN" w:bidi="hi-IN"/>
        </w:rPr>
        <w:t>5</w:t>
      </w:r>
      <w:r>
        <w:rPr>
          <w:color w:val="000000"/>
          <w:sz w:val="28"/>
          <w:shd w:fill="auto" w:val="clear"/>
        </w:rPr>
        <w:t xml:space="preserve"> года»), , утвержденная постановлением Правительства Российской Федерации от 30.01.2019 № 63.</w:t>
      </w:r>
    </w:p>
    <w:p>
      <w:pPr>
        <w:pStyle w:val="Normal"/>
        <w:widowControl w:val="false"/>
        <w:spacing w:lineRule="auto" w:line="312"/>
        <w:ind w:left="0" w:right="0" w:firstLine="709"/>
        <w:jc w:val="both"/>
        <w:rPr>
          <w:color w:val="000000"/>
          <w:sz w:val="28"/>
        </w:rPr>
      </w:pPr>
      <w:r>
        <w:rPr>
          <w:color w:val="000000"/>
          <w:sz w:val="28"/>
        </w:rPr>
        <w:t>Ответственный исполнитель – Министерство экономического развития Российской Федерации.</w:t>
      </w:r>
    </w:p>
    <w:p>
      <w:pPr>
        <w:pStyle w:val="Normal"/>
        <w:widowControl w:val="false"/>
        <w:spacing w:lineRule="auto" w:line="312"/>
        <w:ind w:left="0" w:right="0" w:firstLine="709"/>
        <w:jc w:val="both"/>
        <w:rPr>
          <w:color w:val="000000"/>
          <w:sz w:val="28"/>
        </w:rPr>
      </w:pPr>
      <w:r>
        <w:rPr>
          <w:color w:val="000000"/>
          <w:sz w:val="28"/>
        </w:rPr>
        <w:t>Результатом реализации федеральной целевой программы в рамках компетенции Минтранса России</w:t>
        <w:br/>
        <w:t xml:space="preserve">и подведомственных ему федеральных органов исполнительной власти является создание благоприятных условий для интегрирования экономики Республики Крым и г. Севастополя в экономическое пространство России, обеспечения транспортной доступности и снятия инфраструктурных ограничений в целях устойчивого экономического развития. </w:t>
      </w:r>
    </w:p>
    <w:p>
      <w:pPr>
        <w:pStyle w:val="Normal"/>
        <w:widowControl w:val="false"/>
        <w:spacing w:lineRule="auto" w:line="312"/>
        <w:ind w:left="0" w:right="0" w:firstLine="709"/>
        <w:jc w:val="both"/>
        <w:rPr/>
      </w:pPr>
      <w:r>
        <w:rPr>
          <w:color w:val="000000"/>
          <w:sz w:val="28"/>
          <w:shd w:fill="auto" w:val="clear"/>
        </w:rPr>
        <w:t>18. Федеральная целевая программа «Развитие Республики Карелия на период до 2023 года», у</w:t>
      </w:r>
      <w:r>
        <w:rPr>
          <w:color w:val="000000"/>
          <w:sz w:val="28"/>
        </w:rPr>
        <w:t>твержденная постановлением Правительства Российской Федерации от 09.06.2015 № 570.</w:t>
      </w:r>
    </w:p>
    <w:p>
      <w:pPr>
        <w:pStyle w:val="Normal"/>
        <w:widowControl w:val="false"/>
        <w:spacing w:lineRule="auto" w:line="312"/>
        <w:ind w:left="0" w:right="0" w:firstLine="709"/>
        <w:jc w:val="both"/>
        <w:rPr>
          <w:color w:val="000000"/>
          <w:sz w:val="28"/>
        </w:rPr>
      </w:pPr>
      <w:r>
        <w:rPr>
          <w:color w:val="000000"/>
          <w:sz w:val="28"/>
        </w:rPr>
        <w:t>Ответственный исполнитель – Министерство экономического развития Российской Федерации.</w:t>
      </w:r>
    </w:p>
    <w:p>
      <w:pPr>
        <w:pStyle w:val="Normal"/>
        <w:widowControl w:val="false"/>
        <w:spacing w:lineRule="auto" w:line="312"/>
        <w:ind w:left="0" w:right="0" w:firstLine="709"/>
        <w:jc w:val="both"/>
        <w:rPr/>
      </w:pPr>
      <w:r>
        <w:rPr>
          <w:color w:val="000000"/>
          <w:sz w:val="28"/>
        </w:rPr>
        <w:t>Результатом реализации федеральной целевой программы в рамках компетенции Минтранса России</w:t>
        <w:br/>
        <w:t>и подведомственных ему федеральных органов исполнительной власти является строительство и реконструкция автомобильных дорог общего пользования регионального и местного значения на территории Республики Карелия, увеличение доли автомобильных дорог общего пользования регионального значения на территории Республики Карелия, отвечающих нормативным требованиям, в общей протяженности автомобильных дорог общего пользования регионального значения на территории Республики Карелия, строительство и реконструкция мостовых искусственных сооружений, реконструкция причальной стенки для обеспечения доступности удаленных районов Республики Карелия, реконструкция республиканского автовокзала в г. Петрозаводске и объектов опорной сети автостанций Республики Карелия, реконструкция посадочных площадок, обеспечивающих функционирование воздушного транспорта на территории Республики Карелия.</w:t>
      </w:r>
    </w:p>
    <w:p>
      <w:pPr>
        <w:pStyle w:val="Normal"/>
        <w:widowControl w:val="false"/>
        <w:spacing w:lineRule="auto" w:line="312"/>
        <w:ind w:left="0" w:right="0" w:firstLine="709"/>
        <w:jc w:val="both"/>
        <w:rPr>
          <w:color w:val="000000"/>
          <w:sz w:val="28"/>
        </w:rPr>
      </w:pPr>
      <w:r>
        <w:rPr>
          <w:color w:val="000000"/>
          <w:sz w:val="28"/>
        </w:rPr>
      </w:r>
    </w:p>
    <w:p>
      <w:pPr>
        <w:pStyle w:val="Normal"/>
        <w:widowControl w:val="false"/>
        <w:spacing w:lineRule="auto" w:line="312"/>
        <w:ind w:left="0" w:right="0" w:firstLine="709"/>
        <w:jc w:val="both"/>
        <w:rPr>
          <w:b/>
          <w:b/>
          <w:color w:val="000000"/>
          <w:sz w:val="28"/>
        </w:rPr>
      </w:pPr>
      <w:r>
        <w:rPr>
          <w:b/>
          <w:color w:val="000000"/>
          <w:sz w:val="28"/>
        </w:rPr>
        <w:t>V. Краткая характеристика сил и средств, которыми располагает Министерство транспорта Российской Федерации для реализации документов стратегического планирования</w:t>
      </w:r>
    </w:p>
    <w:p>
      <w:pPr>
        <w:pStyle w:val="Normal"/>
        <w:spacing w:lineRule="auto" w:line="312"/>
        <w:ind w:left="0" w:right="0" w:firstLine="709"/>
        <w:jc w:val="both"/>
        <w:rPr/>
      </w:pPr>
      <w:r>
        <w:rPr>
          <w:color w:val="000000"/>
          <w:sz w:val="28"/>
        </w:rPr>
        <w:t xml:space="preserve">Общий объем финансирования мероприятий Плана деятельности Министерства транспорта Российской Федерации </w:t>
        <w:br/>
        <w:t>на 2019 </w:t>
      </w:r>
      <w:r>
        <w:rPr>
          <w:b/>
          <w:sz w:val="28"/>
        </w:rPr>
        <w:t>-</w:t>
      </w:r>
      <w:r>
        <w:rPr>
          <w:color w:val="000000"/>
          <w:sz w:val="28"/>
        </w:rPr>
        <w:t> 2024 годы из средств федерального бюджета в 2019 году составил 1 036, 8 млрд. рублей, в 2020 году – 1204, 6 млрд. рублей.</w:t>
      </w:r>
    </w:p>
    <w:p>
      <w:pPr>
        <w:pStyle w:val="Normal"/>
        <w:spacing w:lineRule="auto" w:line="312"/>
        <w:ind w:left="0" w:right="0" w:firstLine="709"/>
        <w:jc w:val="both"/>
        <w:rPr/>
      </w:pPr>
      <w:r>
        <w:rPr>
          <w:color w:val="000000"/>
          <w:sz w:val="28"/>
        </w:rPr>
        <w:t>На реализацию государственной программы Российской Федерации «Развитие транспортной системы» (</w:t>
      </w:r>
      <w:r>
        <w:rPr>
          <w:rFonts w:eastAsia="Tahoma" w:cs="Droid Sans Devanagari"/>
          <w:color w:val="000000"/>
          <w:spacing w:val="0"/>
          <w:kern w:val="0"/>
          <w:sz w:val="28"/>
          <w:szCs w:val="20"/>
          <w:lang w:val="ru-RU" w:eastAsia="zh-CN" w:bidi="hi-IN"/>
        </w:rPr>
        <w:t>далее</w:t>
      </w:r>
      <w:r>
        <w:rPr>
          <w:color w:val="000000"/>
          <w:sz w:val="28"/>
        </w:rPr>
        <w:t xml:space="preserve"> − </w:t>
      </w:r>
      <w:r>
        <w:rPr>
          <w:rFonts w:eastAsia="Tahoma" w:cs="Droid Sans Devanagari"/>
          <w:color w:val="000000"/>
          <w:spacing w:val="0"/>
          <w:kern w:val="0"/>
          <w:sz w:val="28"/>
          <w:szCs w:val="20"/>
          <w:lang w:val="ru-RU" w:eastAsia="zh-CN" w:bidi="hi-IN"/>
        </w:rPr>
        <w:t>Программа</w:t>
      </w:r>
      <w:r>
        <w:rPr>
          <w:color w:val="000000"/>
          <w:sz w:val="28"/>
        </w:rPr>
        <w:t xml:space="preserve">) из средств федерального бюджета было направлено в 2019 году – </w:t>
      </w:r>
      <w:r>
        <w:rPr>
          <w:color w:val="000000"/>
          <w:sz w:val="28"/>
          <w:shd w:fill="auto" w:val="clear"/>
        </w:rPr>
        <w:t>979, 2</w:t>
      </w:r>
      <w:r>
        <w:rPr>
          <w:color w:val="000000"/>
          <w:sz w:val="28"/>
        </w:rPr>
        <w:t xml:space="preserve"> млрд. рублей, в 2020 году – </w:t>
      </w:r>
      <w:r>
        <w:rPr>
          <w:rFonts w:eastAsia="Tahoma" w:cs="Droid Sans Devanagari"/>
          <w:color w:val="000000"/>
          <w:spacing w:val="0"/>
          <w:kern w:val="0"/>
          <w:sz w:val="28"/>
          <w:szCs w:val="20"/>
          <w:shd w:fill="auto" w:val="clear"/>
          <w:lang w:val="ru-RU" w:eastAsia="zh-CN" w:bidi="hi-IN"/>
        </w:rPr>
        <w:t>956,1</w:t>
      </w:r>
      <w:r>
        <w:rPr>
          <w:color w:val="000000"/>
          <w:sz w:val="28"/>
        </w:rPr>
        <w:t xml:space="preserve"> млрд. рублей.</w:t>
      </w:r>
    </w:p>
    <w:p>
      <w:pPr>
        <w:pStyle w:val="Normal"/>
        <w:spacing w:lineRule="auto" w:line="312"/>
        <w:ind w:left="0" w:right="0" w:firstLine="709"/>
        <w:jc w:val="both"/>
        <w:rPr/>
      </w:pPr>
      <w:r>
        <w:rPr>
          <w:sz w:val="28"/>
        </w:rPr>
        <w:t>В 2021 году на реализацию Программы планируется направить 1</w:t>
      </w:r>
      <w:r>
        <w:rPr>
          <w:sz w:val="28"/>
          <w:szCs w:val="28"/>
          <w:shd w:fill="F7F7F7" w:val="clear"/>
        </w:rPr>
        <w:t> </w:t>
      </w:r>
      <w:r>
        <w:rPr>
          <w:sz w:val="28"/>
        </w:rPr>
        <w:t>935,1 млрд. рублей, в том числе:</w:t>
      </w:r>
    </w:p>
    <w:p>
      <w:pPr>
        <w:pStyle w:val="Normal"/>
        <w:spacing w:lineRule="auto" w:line="312"/>
        <w:ind w:left="0" w:right="0" w:firstLine="709"/>
        <w:jc w:val="both"/>
        <w:rPr/>
      </w:pPr>
      <w:r>
        <w:rPr>
          <w:sz w:val="28"/>
        </w:rPr>
        <w:t>из средств федерального бюджета –1 042,4</w:t>
      </w:r>
      <w:r>
        <w:rPr>
          <w:rStyle w:val="Style10"/>
          <w:sz w:val="28"/>
        </w:rPr>
        <w:footnoteReference w:id="11"/>
      </w:r>
      <w:r>
        <w:rPr>
          <w:sz w:val="28"/>
          <w:szCs w:val="28"/>
          <w:shd w:fill="F7F7F7" w:val="clear"/>
        </w:rPr>
        <w:t xml:space="preserve"> </w:t>
      </w:r>
      <w:r>
        <w:rPr>
          <w:sz w:val="28"/>
        </w:rPr>
        <w:t>млр</w:t>
      </w:r>
      <w:bookmarkStart w:id="1" w:name="_GoBack1"/>
      <w:bookmarkEnd w:id="1"/>
      <w:r>
        <w:rPr>
          <w:sz w:val="28"/>
        </w:rPr>
        <w:t>д. рублей;</w:t>
      </w:r>
    </w:p>
    <w:p>
      <w:pPr>
        <w:pStyle w:val="Normal"/>
        <w:spacing w:lineRule="auto" w:line="312"/>
        <w:ind w:left="0" w:right="0" w:firstLine="709"/>
        <w:jc w:val="both"/>
        <w:rPr>
          <w:sz w:val="28"/>
        </w:rPr>
      </w:pPr>
      <w:r>
        <w:rPr>
          <w:sz w:val="28"/>
        </w:rPr>
        <w:t>из средств бюджетов государственных внебюджетных фондов Российской Федерации (ФНБ) –</w:t>
        <w:br/>
        <w:t>7,0 млрд. рублей;</w:t>
      </w:r>
    </w:p>
    <w:p>
      <w:pPr>
        <w:pStyle w:val="Normal"/>
        <w:spacing w:lineRule="auto" w:line="312"/>
        <w:ind w:left="0" w:right="0" w:firstLine="709"/>
        <w:jc w:val="both"/>
        <w:rPr>
          <w:sz w:val="28"/>
        </w:rPr>
      </w:pPr>
      <w:r>
        <w:rPr>
          <w:sz w:val="28"/>
        </w:rPr>
        <w:t>из средств бюджетов субъектов Российской Федерации – 179,8 млрд. рублей;</w:t>
      </w:r>
    </w:p>
    <w:p>
      <w:pPr>
        <w:pStyle w:val="Normal"/>
        <w:spacing w:lineRule="auto" w:line="312"/>
        <w:ind w:left="0" w:right="0" w:firstLine="709"/>
        <w:jc w:val="both"/>
        <w:rPr>
          <w:color w:val="000000"/>
          <w:sz w:val="28"/>
        </w:rPr>
      </w:pPr>
      <w:r>
        <w:rPr>
          <w:color w:val="000000"/>
          <w:sz w:val="28"/>
        </w:rPr>
        <w:t>из внебюджетных источников –705,9 млрд. рублей.</w:t>
      </w:r>
    </w:p>
    <w:p>
      <w:pPr>
        <w:pStyle w:val="Normal"/>
        <w:widowControl/>
        <w:suppressAutoHyphens w:val="true"/>
        <w:bidi w:val="0"/>
        <w:spacing w:lineRule="auto" w:line="312" w:before="0" w:after="0"/>
        <w:ind w:left="0" w:right="0" w:firstLine="737"/>
        <w:jc w:val="both"/>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В 2022 - 2024 годах на реализацию Программы планируется направить 7 165,3 млрд. рублей, в том числе:</w:t>
      </w:r>
    </w:p>
    <w:p>
      <w:pPr>
        <w:pStyle w:val="Normal"/>
        <w:widowControl/>
        <w:suppressAutoHyphens w:val="true"/>
        <w:bidi w:val="0"/>
        <w:spacing w:lineRule="auto" w:line="312" w:before="0" w:after="0"/>
        <w:ind w:left="0" w:right="0" w:firstLine="737"/>
        <w:jc w:val="both"/>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из средств федерального бюджета – 3 902,0 млрд. рублей;</w:t>
      </w:r>
    </w:p>
    <w:p>
      <w:pPr>
        <w:pStyle w:val="Normal"/>
        <w:widowControl/>
        <w:suppressAutoHyphens w:val="true"/>
        <w:bidi w:val="0"/>
        <w:spacing w:lineRule="auto" w:line="312" w:before="0" w:after="0"/>
        <w:ind w:left="0" w:right="0" w:firstLine="737"/>
        <w:jc w:val="both"/>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из средств бюджетов государственных внебюджетных фондов Российской Федерации (ФНБ) –</w:t>
        <w:br/>
        <w:t>3,4 млрд. рублей;</w:t>
      </w:r>
    </w:p>
    <w:p>
      <w:pPr>
        <w:pStyle w:val="Normal"/>
        <w:widowControl/>
        <w:suppressAutoHyphens w:val="true"/>
        <w:bidi w:val="0"/>
        <w:spacing w:lineRule="auto" w:line="312" w:before="0" w:after="0"/>
        <w:ind w:left="0" w:right="0" w:firstLine="737"/>
        <w:jc w:val="both"/>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из средств бюджетов субъектов Российской Федерации – 1 219,9 млрд. рублей;</w:t>
      </w:r>
    </w:p>
    <w:p>
      <w:pPr>
        <w:pStyle w:val="Normal"/>
        <w:widowControl/>
        <w:suppressAutoHyphens w:val="true"/>
        <w:bidi w:val="0"/>
        <w:spacing w:lineRule="auto" w:line="312" w:before="0" w:after="0"/>
        <w:ind w:left="0" w:right="0" w:firstLine="737"/>
        <w:jc w:val="both"/>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из внебюджетных источников – 2 705,5 млрд. рублей.</w:t>
      </w:r>
    </w:p>
    <w:p>
      <w:pPr>
        <w:sectPr>
          <w:footnotePr>
            <w:numFmt w:val="decimal"/>
          </w:footnotePr>
          <w:type w:val="continuous"/>
          <w:pgSz w:orient="landscape" w:w="16838" w:h="11906"/>
          <w:pgMar w:left="1134" w:right="567" w:header="708" w:top="851" w:footer="585" w:bottom="709" w:gutter="0"/>
          <w:formProt w:val="false"/>
          <w:textDirection w:val="lrTb"/>
          <w:docGrid w:type="default" w:linePitch="100" w:charSpace="0"/>
        </w:sectPr>
      </w:pPr>
    </w:p>
    <w:p>
      <w:pPr>
        <w:pStyle w:val="Normal"/>
        <w:spacing w:lineRule="auto" w:line="360"/>
        <w:ind w:left="0" w:right="0" w:firstLine="709"/>
        <w:jc w:val="both"/>
        <w:rPr>
          <w:b/>
          <w:b/>
          <w:color w:val="000000"/>
          <w:sz w:val="28"/>
        </w:rPr>
      </w:pPr>
      <w:r>
        <w:rPr>
          <w:b/>
          <w:color w:val="000000"/>
          <w:sz w:val="28"/>
        </w:rPr>
        <w:t>VI. Информация о разработке новых и корректировке действующих документов стратегического планирования в планируемый период и их обоснование</w:t>
      </w:r>
    </w:p>
    <w:p>
      <w:pPr>
        <w:pStyle w:val="Normal"/>
        <w:widowControl w:val="false"/>
        <w:spacing w:lineRule="auto" w:line="312"/>
        <w:ind w:left="0" w:right="0" w:firstLine="709"/>
        <w:jc w:val="both"/>
        <w:rPr/>
      </w:pPr>
      <w:r>
        <w:rPr>
          <w:color w:val="000000"/>
          <w:sz w:val="28"/>
          <w:shd w:fill="auto" w:val="clear"/>
        </w:rPr>
        <w:t>В связи с утверждением Транспортной стратегии Российской Федерации до 2030 года с прогнозом на период</w:t>
        <w:br/>
        <w:t xml:space="preserve">до 2035 года </w:t>
      </w:r>
      <w:r>
        <w:rPr>
          <w:color w:val="000000"/>
          <w:sz w:val="28"/>
        </w:rPr>
        <w:t>будет осуществлена разработка плана реализации Стратегии и Генеральной схемы развития Единой опорной транспортной сети.</w:t>
      </w:r>
    </w:p>
    <w:p>
      <w:pPr>
        <w:sectPr>
          <w:headerReference w:type="default" r:id="rId10"/>
          <w:footerReference w:type="default" r:id="rId11"/>
          <w:footnotePr>
            <w:numFmt w:val="decimal"/>
          </w:footnotePr>
          <w:type w:val="nextPage"/>
          <w:pgSz w:orient="landscape" w:w="16838" w:h="11906"/>
          <w:pgMar w:left="1134" w:right="567" w:header="708" w:top="851" w:footer="585" w:bottom="709" w:gutter="0"/>
          <w:pgNumType w:fmt="decimal"/>
          <w:formProt w:val="false"/>
          <w:textDirection w:val="lrTb"/>
          <w:docGrid w:type="default" w:linePitch="312" w:charSpace="0"/>
        </w:sectPr>
        <w:pStyle w:val="Normal"/>
        <w:widowControl w:val="false"/>
        <w:spacing w:lineRule="auto" w:line="312"/>
        <w:ind w:left="0" w:right="0" w:firstLine="709"/>
        <w:jc w:val="both"/>
        <w:rPr>
          <w:color w:val="000000"/>
          <w:sz w:val="28"/>
        </w:rPr>
      </w:pPr>
      <w:r>
        <w:rPr>
          <w:color w:val="000000"/>
          <w:sz w:val="28"/>
        </w:rPr>
        <w:t>Актуализация государственной программы Российской Федерации «Развитие транспортной системы» осуществляется в соответствии со статьей 179 Бюджетного кодекса Российской Федерации, утвержденного Федеральным законом</w:t>
        <w:br/>
        <w:t>от 31.07.1998 № 145-ФЗ, постановлением Правительства Российской Федерации от 12.10.2017 № 1242 «О разработке, реализации и об оценке эффективности отдельных государственных программ Российской Федерации», а также Методическими рекомендациями по разработке и реализации государственных программ Российской Федерации, утвержденными приказом Министерства экономического развития Российской Федерации от 17.08.2021 № 500.</w:t>
      </w:r>
    </w:p>
    <w:p>
      <w:pPr>
        <w:pStyle w:val="Normal"/>
        <w:widowControl w:val="false"/>
        <w:spacing w:lineRule="auto" w:line="312"/>
        <w:ind w:left="0" w:right="0" w:firstLine="709"/>
        <w:jc w:val="both"/>
        <w:rPr/>
      </w:pPr>
      <w:r>
        <w:rPr>
          <w:b/>
          <w:color w:val="000000"/>
          <w:sz w:val="28"/>
        </w:rPr>
        <w:t>VII.</w:t>
      </w:r>
      <w:r>
        <w:rPr>
          <w:rStyle w:val="Style10"/>
          <w:b/>
          <w:color w:val="000000"/>
          <w:sz w:val="28"/>
        </w:rPr>
        <w:footnoteReference w:id="12"/>
      </w:r>
      <w:r>
        <w:rPr>
          <w:b/>
          <w:color w:val="000000"/>
          <w:sz w:val="28"/>
        </w:rPr>
        <w:t xml:space="preserve"> </w:t>
      </w:r>
      <w:r>
        <w:rPr>
          <w:rFonts w:eastAsia="Tahoma" w:cs="Droid Sans Devanagari"/>
          <w:b/>
          <w:color w:val="000000"/>
          <w:spacing w:val="0"/>
          <w:kern w:val="0"/>
          <w:sz w:val="28"/>
          <w:szCs w:val="20"/>
          <w:lang w:val="ru-RU" w:eastAsia="zh-CN" w:bidi="hi-IN"/>
        </w:rPr>
        <w:t>Сведения о долгосрочных программах развития организаций с участием Российской Федерации,</w:t>
        <w:br/>
        <w:t>их инвестиционной деятельности, в отношении которых Минтранс России (а также подведомственная ему федеральная служба и федеральные агентства) в рамках полномочий, установленных законодательством Российской Федерации, осуществляет функции по рассмотрению, согласованию, утверждению, мониторингу либо контролю реализации</w:t>
      </w:r>
    </w:p>
    <w:p>
      <w:pPr>
        <w:pStyle w:val="Normal"/>
        <w:tabs>
          <w:tab w:val="clear" w:pos="708"/>
          <w:tab w:val="left" w:pos="851" w:leader="none"/>
        </w:tabs>
        <w:spacing w:lineRule="auto" w:line="312"/>
        <w:ind w:left="0" w:right="0" w:firstLine="709"/>
        <w:jc w:val="both"/>
        <w:rPr/>
      </w:pPr>
      <w:r>
        <w:rPr>
          <w:rFonts w:eastAsia="Tahoma" w:cs="Droid Sans Devanagari"/>
          <w:color w:val="000000"/>
          <w:spacing w:val="0"/>
          <w:kern w:val="0"/>
          <w:sz w:val="28"/>
          <w:szCs w:val="20"/>
          <w:lang w:val="ru-RU" w:eastAsia="zh-CN" w:bidi="hi-IN"/>
        </w:rPr>
        <w:t xml:space="preserve">Общий объем инвестирования организаций с участием Российской Федерации, в отношении которых Минтранс России (а также подведомственные ему организации) осуществляет функции по рассмотрению, согласованию, утверждению, мониторингу либо контролю реализации программ развития, в период 2021–2024 годов составляет </w:t>
      </w:r>
      <w:r>
        <w:rPr>
          <w:rFonts w:eastAsia="Tahoma" w:cs="Droid Sans Devanagari"/>
          <w:color w:val="000000"/>
          <w:spacing w:val="0"/>
          <w:kern w:val="0"/>
          <w:sz w:val="28"/>
          <w:szCs w:val="20"/>
          <w:shd w:fill="auto" w:val="clear"/>
          <w:lang w:val="ru-RU" w:eastAsia="zh-CN" w:bidi="hi-IN"/>
        </w:rPr>
        <w:t xml:space="preserve">6351,0 </w:t>
      </w:r>
      <w:r>
        <w:rPr>
          <w:rFonts w:eastAsia="Tahoma" w:cs="Droid Sans Devanagari"/>
          <w:color w:val="000000"/>
          <w:spacing w:val="0"/>
          <w:kern w:val="0"/>
          <w:sz w:val="28"/>
          <w:szCs w:val="20"/>
          <w:lang w:val="ru-RU" w:eastAsia="zh-CN" w:bidi="hi-IN"/>
        </w:rPr>
        <w:t>млрд рублей,</w:t>
        <w:br/>
      </w:r>
      <w:bookmarkStart w:id="2" w:name="_GoBack2"/>
      <w:bookmarkEnd w:id="2"/>
      <w:r>
        <w:rPr>
          <w:rFonts w:eastAsia="Tahoma" w:cs="Droid Sans Devanagari"/>
          <w:color w:val="000000"/>
          <w:spacing w:val="0"/>
          <w:kern w:val="0"/>
          <w:sz w:val="28"/>
          <w:szCs w:val="20"/>
          <w:lang w:val="ru-RU" w:eastAsia="zh-CN" w:bidi="hi-IN"/>
        </w:rPr>
        <w:t xml:space="preserve">в том числе собственное и привлеченное финансирование в размере </w:t>
      </w:r>
      <w:r>
        <w:rPr>
          <w:rFonts w:eastAsia="Tahoma" w:cs="Droid Sans Devanagari"/>
          <w:color w:val="000000"/>
          <w:spacing w:val="0"/>
          <w:kern w:val="0"/>
          <w:sz w:val="28"/>
          <w:szCs w:val="20"/>
          <w:shd w:fill="auto" w:val="clear"/>
          <w:lang w:val="ru-RU" w:eastAsia="zh-CN" w:bidi="hi-IN"/>
        </w:rPr>
        <w:t>5369,74</w:t>
      </w:r>
      <w:r>
        <w:rPr>
          <w:rFonts w:eastAsia="Tahoma" w:cs="Droid Sans Devanagari"/>
          <w:color w:val="000000"/>
          <w:spacing w:val="0"/>
          <w:kern w:val="0"/>
          <w:sz w:val="28"/>
          <w:szCs w:val="20"/>
          <w:lang w:val="ru-RU" w:eastAsia="zh-CN" w:bidi="hi-IN"/>
        </w:rPr>
        <w:t xml:space="preserve"> млрд рублей.</w:t>
      </w:r>
    </w:p>
    <w:p>
      <w:pPr>
        <w:pStyle w:val="Normal"/>
        <w:tabs>
          <w:tab w:val="clear" w:pos="708"/>
          <w:tab w:val="left" w:pos="851" w:leader="none"/>
        </w:tabs>
        <w:spacing w:lineRule="auto" w:line="312"/>
        <w:ind w:left="0" w:right="0" w:firstLine="709"/>
        <w:jc w:val="both"/>
        <w:rPr>
          <w:rFonts w:eastAsia="Tahoma" w:cs="Droid Sans Devanagari"/>
          <w:color w:val="000000"/>
          <w:spacing w:val="0"/>
          <w:kern w:val="0"/>
          <w:sz w:val="28"/>
          <w:szCs w:val="20"/>
          <w:lang w:val="ru-RU" w:eastAsia="zh-CN" w:bidi="hi-IN"/>
        </w:rPr>
      </w:pPr>
      <w:r>
        <w:rPr>
          <w:rFonts w:eastAsia="Tahoma" w:cs="Droid Sans Devanagari"/>
          <w:color w:val="000000"/>
          <w:spacing w:val="0"/>
          <w:kern w:val="0"/>
          <w:sz w:val="28"/>
          <w:szCs w:val="20"/>
          <w:lang w:val="ru-RU" w:eastAsia="zh-CN" w:bidi="hi-IN"/>
        </w:rPr>
        <w:t>АНО «ДМТУ», ФГУП «АГА(а)» и АНО «Дирекция по развитию транспортной системы Санкт-Петербурга</w:t>
        <w:br/>
        <w:t>и Ленинградской области» не осуществляют инвестиционную деятельность.</w:t>
      </w:r>
    </w:p>
    <w:p>
      <w:pPr>
        <w:pStyle w:val="Normal"/>
        <w:tabs>
          <w:tab w:val="clear" w:pos="708"/>
          <w:tab w:val="left" w:pos="851" w:leader="none"/>
        </w:tabs>
        <w:spacing w:lineRule="auto" w:line="312"/>
        <w:ind w:left="0" w:right="0" w:firstLine="709"/>
        <w:jc w:val="both"/>
        <w:rPr/>
      </w:pPr>
      <w:r>
        <w:rPr>
          <w:rFonts w:eastAsia="Tahoma" w:cs="Droid Sans Devanagari"/>
          <w:color w:val="000000"/>
          <w:spacing w:val="0"/>
          <w:kern w:val="0"/>
          <w:sz w:val="28"/>
          <w:szCs w:val="20"/>
          <w:lang w:val="ru-RU" w:eastAsia="zh-CN" w:bidi="hi-IN"/>
        </w:rPr>
        <w:t>1.</w:t>
      </w:r>
      <w:r>
        <w:rPr>
          <w:rFonts w:eastAsia="Tahoma" w:cs="Droid Sans Devanagari"/>
          <w:color w:val="000000"/>
          <w:spacing w:val="0"/>
          <w:kern w:val="0"/>
          <w:sz w:val="28"/>
          <w:szCs w:val="20"/>
          <w:u w:val="single"/>
          <w:lang w:val="ru-RU" w:eastAsia="zh-CN" w:bidi="hi-IN"/>
        </w:rPr>
        <w:t xml:space="preserve"> Сведения о долгосрочных программах развития организаций с участием Российской Федерации, полномочия по согласованию которых отнесены к компетенции Минтранса России в соответствии с решением Президента Российской Федерации и (или) Правительства Российской Федерации.</w:t>
      </w:r>
    </w:p>
    <w:p>
      <w:pPr>
        <w:pStyle w:val="ListParagraph1"/>
        <w:tabs>
          <w:tab w:val="clear" w:pos="708"/>
          <w:tab w:val="left" w:pos="851" w:leader="none"/>
        </w:tabs>
        <w:spacing w:before="0" w:after="0"/>
        <w:ind w:left="567" w:right="0" w:hanging="0"/>
        <w:contextualSpacing/>
        <w:jc w:val="right"/>
        <w:rPr>
          <w:rFonts w:cs="Times New Roman"/>
          <w:sz w:val="20"/>
          <w:szCs w:val="20"/>
        </w:rPr>
      </w:pPr>
      <w:r>
        <w:rPr>
          <w:rFonts w:cs="Times New Roman"/>
          <w:sz w:val="20"/>
          <w:szCs w:val="20"/>
        </w:rPr>
        <w:t>млрд рублей</w:t>
      </w:r>
    </w:p>
    <w:tbl>
      <w:tblPr>
        <w:tblW w:w="15282" w:type="dxa"/>
        <w:jc w:val="left"/>
        <w:tblInd w:w="-152" w:type="dxa"/>
        <w:tblLayout w:type="fixed"/>
        <w:tblCellMar>
          <w:top w:w="55" w:type="dxa"/>
          <w:left w:w="108" w:type="dxa"/>
          <w:bottom w:w="55" w:type="dxa"/>
          <w:right w:w="108" w:type="dxa"/>
        </w:tblCellMar>
      </w:tblPr>
      <w:tblGrid>
        <w:gridCol w:w="4124"/>
        <w:gridCol w:w="7221"/>
        <w:gridCol w:w="848"/>
        <w:gridCol w:w="795"/>
        <w:gridCol w:w="770"/>
        <w:gridCol w:w="758"/>
        <w:gridCol w:w="765"/>
      </w:tblGrid>
      <w:tr>
        <w:trPr/>
        <w:tc>
          <w:tcPr>
            <w:tcW w:w="4124"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 xml:space="preserve">Наименование организации </w:t>
              <w:br/>
              <w:t>(Программный документ/Сроки реализации)</w:t>
            </w:r>
          </w:p>
        </w:tc>
        <w:tc>
          <w:tcPr>
            <w:tcW w:w="7221"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Наименование показателя</w:t>
            </w:r>
          </w:p>
        </w:tc>
        <w:tc>
          <w:tcPr>
            <w:tcW w:w="848"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Всего</w:t>
            </w:r>
          </w:p>
        </w:tc>
        <w:tc>
          <w:tcPr>
            <w:tcW w:w="795"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2021</w:t>
            </w:r>
          </w:p>
        </w:tc>
        <w:tc>
          <w:tcPr>
            <w:tcW w:w="770"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2022</w:t>
            </w:r>
          </w:p>
        </w:tc>
        <w:tc>
          <w:tcPr>
            <w:tcW w:w="758"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2023</w:t>
            </w:r>
          </w:p>
        </w:tc>
        <w:tc>
          <w:tcPr>
            <w:tcW w:w="765" w:type="dxa"/>
            <w:tcBorders>
              <w:top w:val="single" w:sz="4" w:space="0" w:color="000000"/>
              <w:left w:val="single" w:sz="4" w:space="0" w:color="000000"/>
              <w:bottom w:val="single" w:sz="4" w:space="0" w:color="000000"/>
              <w:right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2024</w:t>
            </w:r>
          </w:p>
        </w:tc>
      </w:tr>
      <w:tr>
        <w:trPr/>
        <w:tc>
          <w:tcPr>
            <w:tcW w:w="4124" w:type="dxa"/>
            <w:vMerge w:val="restart"/>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АО «ГТЛК»</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(проект Долгосрочной программы развития АО «ГТЛК»/2021-2025)</w:t>
            </w:r>
          </w:p>
        </w:tc>
        <w:tc>
          <w:tcPr>
            <w:tcW w:w="722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Общий объем инвестирования</w:t>
            </w:r>
          </w:p>
        </w:tc>
        <w:tc>
          <w:tcPr>
            <w:tcW w:w="848"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577,1</w:t>
            </w:r>
          </w:p>
        </w:tc>
        <w:tc>
          <w:tcPr>
            <w:tcW w:w="795"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163,9</w:t>
            </w:r>
          </w:p>
        </w:tc>
        <w:tc>
          <w:tcPr>
            <w:tcW w:w="770"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165,8</w:t>
            </w:r>
          </w:p>
        </w:tc>
        <w:tc>
          <w:tcPr>
            <w:tcW w:w="758"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118,7</w:t>
            </w:r>
          </w:p>
        </w:tc>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128,7</w:t>
            </w:r>
          </w:p>
        </w:tc>
      </w:tr>
      <w:tr>
        <w:trPr/>
        <w:tc>
          <w:tcPr>
            <w:tcW w:w="4124" w:type="dxa"/>
            <w:vMerge w:val="continue"/>
            <w:tcBorders>
              <w:top w:val="single" w:sz="4" w:space="0" w:color="000000"/>
              <w:left w:val="single" w:sz="4" w:space="0" w:color="000000"/>
              <w:bottom w:val="single" w:sz="4" w:space="0" w:color="000000"/>
            </w:tcBorders>
            <w:vAlign w:val="center"/>
          </w:tcPr>
          <w:p>
            <w:pPr>
              <w:pStyle w:val="Normal"/>
              <w:widowControl w:val="false"/>
              <w:rPr/>
            </w:pPr>
            <w:r>
              <w:rPr/>
            </w:r>
          </w:p>
        </w:tc>
        <w:tc>
          <w:tcPr>
            <w:tcW w:w="11157"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по направлениям:</w:t>
            </w:r>
          </w:p>
        </w:tc>
      </w:tr>
      <w:tr>
        <w:trPr/>
        <w:tc>
          <w:tcPr>
            <w:tcW w:w="4124" w:type="dxa"/>
            <w:vMerge w:val="continue"/>
            <w:tcBorders>
              <w:top w:val="single" w:sz="4" w:space="0" w:color="000000"/>
              <w:left w:val="single" w:sz="4" w:space="0" w:color="000000"/>
              <w:bottom w:val="single" w:sz="4" w:space="0" w:color="000000"/>
            </w:tcBorders>
            <w:vAlign w:val="center"/>
          </w:tcPr>
          <w:p>
            <w:pPr>
              <w:pStyle w:val="Normal"/>
              <w:widowControl w:val="false"/>
              <w:rPr/>
            </w:pPr>
            <w:r>
              <w:rPr/>
            </w:r>
          </w:p>
        </w:tc>
        <w:tc>
          <w:tcPr>
            <w:tcW w:w="7221"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объем инвестиций, направляемый на оплату поставщикам имущества по лизинговым, арендным проектам текущего и нового бизнеса Группы ГТЛК</w:t>
            </w:r>
          </w:p>
        </w:tc>
        <w:tc>
          <w:tcPr>
            <w:tcW w:w="84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577,1</w:t>
            </w:r>
          </w:p>
        </w:tc>
        <w:tc>
          <w:tcPr>
            <w:tcW w:w="79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163,9</w:t>
            </w:r>
          </w:p>
        </w:tc>
        <w:tc>
          <w:tcPr>
            <w:tcW w:w="77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165,8</w:t>
            </w:r>
          </w:p>
        </w:tc>
        <w:tc>
          <w:tcPr>
            <w:tcW w:w="75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118,7</w:t>
            </w:r>
          </w:p>
        </w:tc>
        <w:tc>
          <w:tcPr>
            <w:tcW w:w="765"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128,7</w:t>
            </w:r>
          </w:p>
        </w:tc>
      </w:tr>
      <w:tr>
        <w:trPr/>
        <w:tc>
          <w:tcPr>
            <w:tcW w:w="4124" w:type="dxa"/>
            <w:vMerge w:val="continue"/>
            <w:tcBorders>
              <w:top w:val="single" w:sz="4" w:space="0" w:color="000000"/>
              <w:left w:val="single" w:sz="4" w:space="0" w:color="000000"/>
              <w:bottom w:val="single" w:sz="4" w:space="0" w:color="000000"/>
            </w:tcBorders>
            <w:vAlign w:val="center"/>
          </w:tcPr>
          <w:p>
            <w:pPr>
              <w:pStyle w:val="Normal"/>
              <w:widowControl w:val="false"/>
              <w:rPr/>
            </w:pPr>
            <w:r>
              <w:rPr/>
            </w:r>
          </w:p>
        </w:tc>
        <w:tc>
          <w:tcPr>
            <w:tcW w:w="11157"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по источникам финансирования:</w:t>
            </w:r>
          </w:p>
        </w:tc>
      </w:tr>
      <w:tr>
        <w:trPr/>
        <w:tc>
          <w:tcPr>
            <w:tcW w:w="4124" w:type="dxa"/>
            <w:vMerge w:val="continue"/>
            <w:tcBorders>
              <w:top w:val="single" w:sz="4" w:space="0" w:color="000000"/>
              <w:left w:val="single" w:sz="4" w:space="0" w:color="000000"/>
              <w:bottom w:val="single" w:sz="4" w:space="0" w:color="000000"/>
            </w:tcBorders>
            <w:vAlign w:val="center"/>
          </w:tcPr>
          <w:p>
            <w:pPr>
              <w:pStyle w:val="Normal"/>
              <w:widowControl w:val="false"/>
              <w:rPr/>
            </w:pPr>
            <w:r>
              <w:rPr/>
            </w:r>
          </w:p>
        </w:tc>
        <w:tc>
          <w:tcPr>
            <w:tcW w:w="7221"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привлеченное финансирование</w:t>
            </w:r>
          </w:p>
        </w:tc>
        <w:tc>
          <w:tcPr>
            <w:tcW w:w="84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572,1</w:t>
            </w:r>
          </w:p>
        </w:tc>
        <w:tc>
          <w:tcPr>
            <w:tcW w:w="79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158,9</w:t>
            </w:r>
          </w:p>
        </w:tc>
        <w:tc>
          <w:tcPr>
            <w:tcW w:w="77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165,8</w:t>
            </w:r>
          </w:p>
        </w:tc>
        <w:tc>
          <w:tcPr>
            <w:tcW w:w="75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118,7</w:t>
            </w:r>
          </w:p>
        </w:tc>
        <w:tc>
          <w:tcPr>
            <w:tcW w:w="765"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128,7</w:t>
            </w:r>
          </w:p>
        </w:tc>
      </w:tr>
      <w:tr>
        <w:trPr/>
        <w:tc>
          <w:tcPr>
            <w:tcW w:w="4124" w:type="dxa"/>
            <w:vMerge w:val="continue"/>
            <w:tcBorders>
              <w:top w:val="single" w:sz="4" w:space="0" w:color="000000"/>
              <w:left w:val="single" w:sz="4" w:space="0" w:color="000000"/>
              <w:bottom w:val="single" w:sz="4" w:space="0" w:color="000000"/>
            </w:tcBorders>
            <w:vAlign w:val="center"/>
          </w:tcPr>
          <w:p>
            <w:pPr>
              <w:pStyle w:val="Normal"/>
              <w:widowControl w:val="false"/>
              <w:rPr/>
            </w:pPr>
            <w:r>
              <w:rPr/>
            </w:r>
          </w:p>
        </w:tc>
        <w:tc>
          <w:tcPr>
            <w:tcW w:w="7221"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средства федерального бюджета</w:t>
            </w:r>
          </w:p>
        </w:tc>
        <w:tc>
          <w:tcPr>
            <w:tcW w:w="848"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5,0</w:t>
            </w:r>
          </w:p>
        </w:tc>
        <w:tc>
          <w:tcPr>
            <w:tcW w:w="795"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5,0</w:t>
            </w:r>
          </w:p>
        </w:tc>
        <w:tc>
          <w:tcPr>
            <w:tcW w:w="770"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w:t>
            </w:r>
          </w:p>
        </w:tc>
        <w:tc>
          <w:tcPr>
            <w:tcW w:w="758"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w:t>
            </w:r>
          </w:p>
        </w:tc>
        <w:tc>
          <w:tcPr>
            <w:tcW w:w="76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w:t>
            </w:r>
          </w:p>
        </w:tc>
      </w:tr>
    </w:tbl>
    <w:p>
      <w:pPr>
        <w:pStyle w:val="Normal"/>
        <w:tabs>
          <w:tab w:val="clear" w:pos="708"/>
          <w:tab w:val="left" w:pos="851" w:leader="none"/>
        </w:tabs>
        <w:jc w:val="both"/>
        <w:rPr>
          <w:rFonts w:ascii="Times New Roman" w:hAnsi="Times New Roman" w:cs="Times New Roman"/>
          <w:sz w:val="28"/>
          <w:szCs w:val="28"/>
        </w:rPr>
      </w:pPr>
      <w:r>
        <w:rPr>
          <w:rFonts w:cs="Times New Roman"/>
          <w:sz w:val="28"/>
          <w:szCs w:val="28"/>
        </w:rPr>
      </w:r>
    </w:p>
    <w:p>
      <w:pPr>
        <w:pStyle w:val="Normal"/>
        <w:widowControl/>
        <w:tabs>
          <w:tab w:val="clear" w:pos="708"/>
          <w:tab w:val="left" w:pos="851" w:leader="none"/>
        </w:tabs>
        <w:suppressAutoHyphens w:val="true"/>
        <w:overflowPunct w:val="true"/>
        <w:bidi w:val="0"/>
        <w:spacing w:lineRule="auto" w:line="312" w:before="0" w:after="0"/>
        <w:ind w:left="0" w:right="0" w:firstLine="737"/>
        <w:jc w:val="both"/>
        <w:rPr/>
      </w:pPr>
      <w:r>
        <w:rPr>
          <w:rFonts w:cs="Times New Roman"/>
          <w:sz w:val="28"/>
          <w:szCs w:val="28"/>
        </w:rPr>
        <w:t xml:space="preserve">2. </w:t>
      </w:r>
      <w:r>
        <w:rPr>
          <w:rFonts w:cs="Times New Roman"/>
          <w:sz w:val="28"/>
          <w:szCs w:val="28"/>
          <w:u w:val="single"/>
        </w:rPr>
        <w:t>Сведения о долгосрочных программах развития организаций с участием Российской Федерации, координация хода реализации которых отнесена к ведению Минтранса России и подведомственных ему федеральных агентств в соответствии с решением Президента Российской Федерации и (или) Правительства Российской Федерации.</w:t>
      </w:r>
    </w:p>
    <w:p>
      <w:pPr>
        <w:pStyle w:val="Normal"/>
        <w:spacing w:lineRule="auto" w:line="240" w:before="0" w:after="0"/>
        <w:jc w:val="right"/>
        <w:rPr>
          <w:rFonts w:cs="Times New Roman"/>
          <w:sz w:val="20"/>
          <w:szCs w:val="28"/>
        </w:rPr>
      </w:pPr>
      <w:r>
        <w:rPr>
          <w:rFonts w:cs="Times New Roman"/>
          <w:sz w:val="20"/>
          <w:szCs w:val="28"/>
        </w:rPr>
        <w:t>млрд рублей</w:t>
      </w:r>
    </w:p>
    <w:tbl>
      <w:tblPr>
        <w:tblW w:w="15282" w:type="dxa"/>
        <w:jc w:val="left"/>
        <w:tblInd w:w="-152" w:type="dxa"/>
        <w:tblLayout w:type="fixed"/>
        <w:tblCellMar>
          <w:top w:w="55" w:type="dxa"/>
          <w:left w:w="108" w:type="dxa"/>
          <w:bottom w:w="55" w:type="dxa"/>
          <w:right w:w="108" w:type="dxa"/>
        </w:tblCellMar>
      </w:tblPr>
      <w:tblGrid>
        <w:gridCol w:w="6123"/>
        <w:gridCol w:w="3657"/>
        <w:gridCol w:w="1108"/>
        <w:gridCol w:w="975"/>
        <w:gridCol w:w="1129"/>
        <w:gridCol w:w="1130"/>
        <w:gridCol w:w="1159"/>
      </w:tblGrid>
      <w:tr>
        <w:trPr>
          <w:trHeight w:val="577" w:hRule="atLeast"/>
        </w:trPr>
        <w:tc>
          <w:tcPr>
            <w:tcW w:w="6123"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Наименование организации</w:t>
              <w:br/>
              <w:t>(программный документ/сроки реализации)</w:t>
            </w:r>
          </w:p>
        </w:tc>
        <w:tc>
          <w:tcPr>
            <w:tcW w:w="3657"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Наименование показателя</w:t>
            </w:r>
          </w:p>
        </w:tc>
        <w:tc>
          <w:tcPr>
            <w:tcW w:w="1108"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Всего</w:t>
            </w:r>
          </w:p>
        </w:tc>
        <w:tc>
          <w:tcPr>
            <w:tcW w:w="975"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2021</w:t>
            </w:r>
          </w:p>
        </w:tc>
        <w:tc>
          <w:tcPr>
            <w:tcW w:w="1129"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2022</w:t>
            </w:r>
          </w:p>
        </w:tc>
        <w:tc>
          <w:tcPr>
            <w:tcW w:w="1130" w:type="dxa"/>
            <w:tcBorders>
              <w:top w:val="single" w:sz="4" w:space="0" w:color="000000"/>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2023</w:t>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2024</w:t>
            </w:r>
          </w:p>
        </w:tc>
      </w:tr>
      <w:tr>
        <w:trPr/>
        <w:tc>
          <w:tcPr>
            <w:tcW w:w="15281" w:type="dxa"/>
            <w:gridSpan w:val="7"/>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144" w:hanging="0"/>
              <w:jc w:val="center"/>
              <w:rPr>
                <w:rFonts w:eastAsia="Calibri" w:cs="Times New Roman"/>
                <w:b/>
                <w:b/>
                <w:color w:val="000000"/>
                <w:kern w:val="0"/>
                <w:sz w:val="24"/>
                <w:szCs w:val="24"/>
                <w:lang w:val="ru-RU" w:eastAsia="en-US" w:bidi="ar-SA"/>
              </w:rPr>
            </w:pPr>
            <w:r>
              <w:rPr>
                <w:rFonts w:eastAsia="Calibri" w:cs="Times New Roman"/>
                <w:b/>
                <w:color w:val="000000"/>
                <w:kern w:val="0"/>
                <w:sz w:val="24"/>
                <w:szCs w:val="24"/>
                <w:lang w:val="ru-RU" w:eastAsia="en-US" w:bidi="ar-SA"/>
              </w:rPr>
              <w:t>Авиационный транспорт</w:t>
            </w:r>
          </w:p>
        </w:tc>
      </w:tr>
      <w:tr>
        <w:trPr/>
        <w:tc>
          <w:tcPr>
            <w:tcW w:w="6123" w:type="dxa"/>
            <w:vMerge w:val="restart"/>
            <w:tcBorders>
              <w:left w:val="single" w:sz="4" w:space="0" w:color="000000"/>
              <w:bottom w:val="single" w:sz="4" w:space="0" w:color="000000"/>
            </w:tcBorders>
            <w:vAlign w:val="center"/>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АО «Международный аэропорт «Шереметьево»</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(бюджет текущей деятельности на 2021-2022г, бюджеты инвестиционных затрат, проект новой программы развития аэродромной инфраструктуры по объектам Концессионного Соглашения с 2023г./2021-2024);</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ПАО «Аэрофлот»</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(долгосрочная программа развития Группы «Аэрофлот»/</w:t>
              <w:br/>
              <w:t>2021-2025);</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 xml:space="preserve"> </w:t>
            </w:r>
            <w:r>
              <w:rPr>
                <w:rFonts w:eastAsia="Calibri" w:cs="Times New Roman"/>
                <w:b/>
                <w:kern w:val="0"/>
                <w:sz w:val="24"/>
                <w:szCs w:val="24"/>
                <w:lang w:val="ru-RU" w:eastAsia="en-US" w:bidi="ar-SA"/>
              </w:rPr>
              <w:t>ФГУП «Госкорпорация по ОрВД»</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(долгосрочная программа развития/2020-2030)</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 xml:space="preserve"> </w:t>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Общий объем инвестирования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158,62</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40,81</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42,56</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38,94</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36,31</w:t>
            </w:r>
          </w:p>
        </w:tc>
      </w:tr>
      <w:tr>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ind w:left="-108" w:right="0" w:hanging="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по направлениям:</w:t>
            </w:r>
          </w:p>
        </w:tc>
      </w:tr>
      <w:tr>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новое строительство</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28,29</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1,07</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3,37</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10,68</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13,17</w:t>
            </w:r>
          </w:p>
        </w:tc>
      </w:tr>
      <w:tr>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реконструкция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16,45</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4,67</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3,39</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4,08</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4,31</w:t>
            </w:r>
          </w:p>
        </w:tc>
      </w:tr>
      <w:tr>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модернизация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9,59</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3,15</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6,42</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0,01</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w:t>
            </w:r>
          </w:p>
        </w:tc>
      </w:tr>
      <w:tr>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иные</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104,29</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31,92</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29,38</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24,17</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18,83</w:t>
            </w:r>
          </w:p>
        </w:tc>
      </w:tr>
      <w:tr>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по источникам финансирования:</w:t>
            </w:r>
          </w:p>
        </w:tc>
      </w:tr>
      <w:tr>
        <w:trPr>
          <w:trHeight w:val="299" w:hRule="atLeast"/>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собственные средства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132,04</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38,88</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40,62</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29,92</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22,63</w:t>
            </w:r>
          </w:p>
        </w:tc>
      </w:tr>
      <w:tr>
        <w:trPr>
          <w:trHeight w:val="283" w:hRule="atLeast"/>
        </w:trPr>
        <w:tc>
          <w:tcPr>
            <w:tcW w:w="6123" w:type="dxa"/>
            <w:vMerge w:val="continue"/>
            <w:tcBorders>
              <w:left w:val="single" w:sz="4" w:space="0" w:color="000000"/>
              <w:bottom w:val="single" w:sz="4" w:space="0" w:color="000000"/>
            </w:tcBorders>
            <w:vAlign w:val="center"/>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независимые инвестиции</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26,58</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1,94</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1,94</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9,02</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13,68</w:t>
            </w:r>
          </w:p>
        </w:tc>
      </w:tr>
      <w:tr>
        <w:trPr/>
        <w:tc>
          <w:tcPr>
            <w:tcW w:w="15281" w:type="dxa"/>
            <w:gridSpan w:val="7"/>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ind w:left="0" w:right="-144" w:hanging="0"/>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Железнодорожный транспорт</w:t>
            </w:r>
          </w:p>
        </w:tc>
      </w:tr>
      <w:tr>
        <w:trPr/>
        <w:tc>
          <w:tcPr>
            <w:tcW w:w="6123" w:type="dxa"/>
            <w:vMerge w:val="restart"/>
            <w:tcBorders>
              <w:top w:val="single" w:sz="4" w:space="0" w:color="000000"/>
              <w:left w:val="single" w:sz="4" w:space="0" w:color="000000"/>
              <w:bottom w:val="single" w:sz="4" w:space="0" w:color="000000"/>
            </w:tcBorders>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ОАО «РЖД»</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 xml:space="preserve">(проект инвестиционной программы </w:t>
              <w:br/>
              <w:t>ОАО «РЖД»/2021-2024)</w:t>
            </w:r>
          </w:p>
        </w:tc>
        <w:tc>
          <w:tcPr>
            <w:tcW w:w="3657"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Общий объем инвестирования</w:t>
            </w:r>
          </w:p>
        </w:tc>
        <w:tc>
          <w:tcPr>
            <w:tcW w:w="1108"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4 034,39</w:t>
            </w:r>
          </w:p>
        </w:tc>
        <w:tc>
          <w:tcPr>
            <w:tcW w:w="975"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776,24</w:t>
            </w:r>
          </w:p>
        </w:tc>
        <w:tc>
          <w:tcPr>
            <w:tcW w:w="1129"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1 018,37</w:t>
            </w:r>
          </w:p>
        </w:tc>
        <w:tc>
          <w:tcPr>
            <w:tcW w:w="1130" w:type="dxa"/>
            <w:tcBorders>
              <w:top w:val="single" w:sz="4" w:space="0" w:color="000000"/>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1 138,17</w:t>
            </w:r>
          </w:p>
        </w:tc>
        <w:tc>
          <w:tcPr>
            <w:tcW w:w="115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1 101,60</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по направлениям:</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новое строительство</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2 062,22</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322,83</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497,15</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643,48</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598,77</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реконструкция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1 146,57</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249,21</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290,03</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299,68</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307,65</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модернизация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825,60</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204,20</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231,20</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195,01</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195,18</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по источникам финансирования:</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собственные средства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3 743,38</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690,21</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978,81</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1 074,46</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999,90</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средства федерального бюджета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39,78</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28,40</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6,43</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2,99</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1,97</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средства бюджетов субъектов Российской Федерации</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76,97</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42,13</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14,84</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10,00</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10,00</w:t>
            </w:r>
          </w:p>
        </w:tc>
      </w:tr>
      <w:tr>
        <w:trPr/>
        <w:tc>
          <w:tcPr>
            <w:tcW w:w="6123" w:type="dxa"/>
            <w:vMerge w:val="continue"/>
            <w:tcBorders>
              <w:top w:val="single" w:sz="4" w:space="0" w:color="000000"/>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ФНБ</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174,26</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15,50</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18,30</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50,72</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89,74</w:t>
            </w:r>
          </w:p>
        </w:tc>
      </w:tr>
      <w:tr>
        <w:trPr>
          <w:trHeight w:val="442" w:hRule="atLeast"/>
        </w:trPr>
        <w:tc>
          <w:tcPr>
            <w:tcW w:w="15281" w:type="dxa"/>
            <w:gridSpan w:val="7"/>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Дорожное хозяйство</w:t>
            </w:r>
          </w:p>
        </w:tc>
      </w:tr>
      <w:tr>
        <w:trPr/>
        <w:tc>
          <w:tcPr>
            <w:tcW w:w="6123" w:type="dxa"/>
            <w:vMerge w:val="restart"/>
            <w:tcBorders>
              <w:left w:val="single" w:sz="4" w:space="0" w:color="000000"/>
              <w:bottom w:val="single" w:sz="4" w:space="0" w:color="000000"/>
            </w:tcBorders>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Государственная компания «Автодор»</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(проект Программы деятельности на долгосрочный период/2010-2030)</w:t>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Общий объем инвестирования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1 338,54</w:t>
            </w:r>
          </w:p>
        </w:tc>
        <w:tc>
          <w:tcPr>
            <w:tcW w:w="975" w:type="dxa"/>
            <w:tcBorders>
              <w:left w:val="single" w:sz="4" w:space="0" w:color="000000"/>
              <w:bottom w:val="single" w:sz="4" w:space="0" w:color="000000"/>
            </w:tcBorders>
            <w:vAlign w:val="center"/>
          </w:tcPr>
          <w:p>
            <w:pPr>
              <w:pStyle w:val="Normal"/>
              <w:widowControl w:val="false"/>
              <w:suppressAutoHyphens w:val="true"/>
              <w:overflowPunct w:val="true"/>
              <w:bidi w:val="0"/>
              <w:spacing w:lineRule="auto" w:line="240" w:before="0" w:after="0"/>
              <w:ind w:left="-57" w:right="0" w:hanging="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313,71</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331,38</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390,71</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302,74</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по направлениям:</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строительство и реконструкция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1 178,75</w:t>
            </w:r>
          </w:p>
        </w:tc>
        <w:tc>
          <w:tcPr>
            <w:tcW w:w="975" w:type="dxa"/>
            <w:tcBorders>
              <w:left w:val="single" w:sz="4" w:space="0" w:color="000000"/>
              <w:bottom w:val="single" w:sz="4" w:space="0" w:color="000000"/>
            </w:tcBorders>
            <w:vAlign w:val="center"/>
          </w:tcPr>
          <w:p>
            <w:pPr>
              <w:pStyle w:val="Normal"/>
              <w:widowControl w:val="false"/>
              <w:suppressAutoHyphens w:val="true"/>
              <w:overflowPunct w:val="true"/>
              <w:bidi w:val="0"/>
              <w:spacing w:lineRule="auto" w:line="240" w:before="0" w:after="0"/>
              <w:ind w:left="-113" w:right="-113" w:hanging="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277,58</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294,36</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349,51</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257,31</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содержание, ремонт и капитальный ремонт</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159,79</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36,14</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37,02</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41,21</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45,43</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по источникам финансирования:</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собственные средства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57,20</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13,49</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12,45</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12,94</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18,31</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привлеченное финансирование</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674,49</w:t>
            </w:r>
          </w:p>
        </w:tc>
        <w:tc>
          <w:tcPr>
            <w:tcW w:w="975" w:type="dxa"/>
            <w:tcBorders>
              <w:left w:val="single" w:sz="4" w:space="0" w:color="000000"/>
              <w:bottom w:val="single" w:sz="4" w:space="0" w:color="000000"/>
            </w:tcBorders>
            <w:vAlign w:val="center"/>
          </w:tcPr>
          <w:p>
            <w:pPr>
              <w:pStyle w:val="Normal"/>
              <w:widowControl w:val="false"/>
              <w:suppressAutoHyphens w:val="true"/>
              <w:overflowPunct w:val="true"/>
              <w:bidi w:val="0"/>
              <w:spacing w:lineRule="auto" w:line="240" w:before="0" w:after="0"/>
              <w:ind w:left="-57" w:right="0" w:hanging="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102,01</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210,48</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223,98</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138,02</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средства федерального бюджета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606,85</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198,21</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108,44</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153,80</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146,41</w:t>
            </w:r>
          </w:p>
        </w:tc>
      </w:tr>
      <w:tr>
        <w:trPr>
          <w:trHeight w:val="431" w:hRule="atLeast"/>
        </w:trPr>
        <w:tc>
          <w:tcPr>
            <w:tcW w:w="15281" w:type="dxa"/>
            <w:gridSpan w:val="7"/>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Городской транспорт</w:t>
            </w:r>
          </w:p>
        </w:tc>
      </w:tr>
      <w:tr>
        <w:trPr>
          <w:trHeight w:val="411" w:hRule="atLeast"/>
        </w:trPr>
        <w:tc>
          <w:tcPr>
            <w:tcW w:w="6123" w:type="dxa"/>
            <w:vMerge w:val="restart"/>
            <w:tcBorders>
              <w:left w:val="single" w:sz="4" w:space="0" w:color="000000"/>
              <w:bottom w:val="single" w:sz="4" w:space="0" w:color="000000"/>
            </w:tcBorders>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ОАО «НИИАТ»</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(план инвестиций для осуществления реконструкции и ремонта зданий, инженерных сооружений и приобретения оборудования, проектно-изыскательных работ на 2021-2023 гг./2021-2024)</w:t>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Общий объем инвестирования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0,01</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0,002</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0,003</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0,003</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0,003</w:t>
            </w:r>
          </w:p>
        </w:tc>
      </w:tr>
      <w:tr>
        <w:trPr>
          <w:trHeight w:val="249" w:hRule="atLeast"/>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по направлениям:</w:t>
            </w:r>
          </w:p>
        </w:tc>
      </w:tr>
      <w:tr>
        <w:trPr>
          <w:trHeight w:val="421" w:hRule="atLeast"/>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реконструкция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0,01</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0,002</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0,003</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0,003</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0,003</w:t>
            </w:r>
          </w:p>
        </w:tc>
      </w:tr>
      <w:tr>
        <w:trPr>
          <w:trHeight w:val="273" w:hRule="atLeast"/>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по источникам финансирования:</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собственные средства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0,01</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0,002</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0,003</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0,003</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0,003</w:t>
            </w:r>
          </w:p>
        </w:tc>
      </w:tr>
      <w:tr>
        <w:trPr>
          <w:trHeight w:val="451" w:hRule="atLeast"/>
        </w:trPr>
        <w:tc>
          <w:tcPr>
            <w:tcW w:w="15281" w:type="dxa"/>
            <w:gridSpan w:val="7"/>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Цифровизация транспорта</w:t>
            </w:r>
          </w:p>
        </w:tc>
      </w:tr>
      <w:tr>
        <w:trPr/>
        <w:tc>
          <w:tcPr>
            <w:tcW w:w="6123" w:type="dxa"/>
            <w:vMerge w:val="restart"/>
            <w:tcBorders>
              <w:left w:val="single" w:sz="4" w:space="0" w:color="000000"/>
              <w:bottom w:val="single" w:sz="4" w:space="0" w:color="000000"/>
            </w:tcBorders>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АО «ГЛОНАСС»</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(бюджет (финансовый план)/2021-2026)</w:t>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Общий объем инвестирования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shd w:fill="auto" w:val="clear"/>
                <w:lang w:val="ru-RU" w:eastAsia="en-US" w:bidi="ar-SA"/>
              </w:rPr>
            </w:pPr>
            <w:r>
              <w:rPr>
                <w:rFonts w:eastAsia="Calibri" w:cs="Times New Roman"/>
                <w:color w:val="000000"/>
                <w:kern w:val="0"/>
                <w:sz w:val="24"/>
                <w:szCs w:val="24"/>
                <w:shd w:fill="auto" w:val="clear"/>
                <w:lang w:val="ru-RU" w:eastAsia="en-US" w:bidi="ar-SA"/>
              </w:rPr>
              <w:t>7,33</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1,71</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1,80</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1,87</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1,95</w:t>
            </w:r>
          </w:p>
        </w:tc>
      </w:tr>
      <w:tr>
        <w:trPr>
          <w:trHeight w:val="359" w:hRule="atLeast"/>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по направлениям:</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модернизация</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shd w:fill="auto" w:val="clear"/>
                <w:lang w:val="ru-RU" w:eastAsia="en-US" w:bidi="ar-SA"/>
              </w:rPr>
            </w:pPr>
            <w:r>
              <w:rPr>
                <w:rFonts w:eastAsia="Calibri" w:cs="Times New Roman"/>
                <w:color w:val="000000"/>
                <w:kern w:val="0"/>
                <w:sz w:val="24"/>
                <w:szCs w:val="24"/>
                <w:shd w:fill="auto" w:val="clear"/>
                <w:lang w:val="ru-RU" w:eastAsia="en-US" w:bidi="ar-SA"/>
              </w:rPr>
              <w:t>5,46</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1,25</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1,34</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1,41</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1,46</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иные</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shd w:fill="auto" w:val="clear"/>
                <w:lang w:val="ru-RU" w:eastAsia="en-US" w:bidi="ar-SA"/>
              </w:rPr>
            </w:pPr>
            <w:r>
              <w:rPr>
                <w:rFonts w:eastAsia="Calibri" w:cs="Times New Roman"/>
                <w:color w:val="000000"/>
                <w:kern w:val="0"/>
                <w:sz w:val="24"/>
                <w:szCs w:val="24"/>
                <w:shd w:fill="auto" w:val="clear"/>
                <w:lang w:val="ru-RU" w:eastAsia="en-US" w:bidi="ar-SA"/>
              </w:rPr>
              <w:t>1,86</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0,46</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0,46</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0,46</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0,48</w:t>
            </w:r>
          </w:p>
        </w:tc>
      </w:tr>
      <w:tr>
        <w:trPr>
          <w:trHeight w:val="344" w:hRule="atLeast"/>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по источникам финансирования:</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собственные средства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color w:val="000000"/>
                <w:kern w:val="0"/>
                <w:sz w:val="24"/>
                <w:szCs w:val="24"/>
                <w:shd w:fill="auto" w:val="clear"/>
                <w:lang w:val="ru-RU" w:eastAsia="en-US" w:bidi="ar-SA"/>
              </w:rPr>
            </w:pPr>
            <w:r>
              <w:rPr>
                <w:rFonts w:eastAsia="Calibri" w:cs="Times New Roman"/>
                <w:color w:val="000000"/>
                <w:kern w:val="0"/>
                <w:sz w:val="24"/>
                <w:szCs w:val="24"/>
                <w:shd w:fill="auto" w:val="clear"/>
                <w:lang w:val="ru-RU" w:eastAsia="en-US" w:bidi="ar-SA"/>
              </w:rPr>
              <w:t>5,93</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1,36</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1,45</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1,52</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1,60</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center"/>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средства федерального бюджета</w:t>
            </w:r>
          </w:p>
        </w:tc>
        <w:tc>
          <w:tcPr>
            <w:tcW w:w="1108"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1,40</w:t>
            </w:r>
          </w:p>
        </w:tc>
        <w:tc>
          <w:tcPr>
            <w:tcW w:w="975"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0,35</w:t>
            </w:r>
          </w:p>
        </w:tc>
        <w:tc>
          <w:tcPr>
            <w:tcW w:w="1129"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0,35</w:t>
            </w:r>
          </w:p>
        </w:tc>
        <w:tc>
          <w:tcPr>
            <w:tcW w:w="1130" w:type="dxa"/>
            <w:tcBorders>
              <w:left w:val="single" w:sz="4" w:space="0" w:color="000000"/>
              <w:bottom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0,35</w:t>
            </w:r>
          </w:p>
        </w:tc>
        <w:tc>
          <w:tcPr>
            <w:tcW w:w="1159" w:type="dxa"/>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0,35</w:t>
            </w:r>
          </w:p>
        </w:tc>
      </w:tr>
      <w:tr>
        <w:trPr/>
        <w:tc>
          <w:tcPr>
            <w:tcW w:w="15281" w:type="dxa"/>
            <w:gridSpan w:val="7"/>
            <w:tcBorders>
              <w:left w:val="single" w:sz="4" w:space="0" w:color="000000"/>
              <w:bottom w:val="single" w:sz="4" w:space="0" w:color="000000"/>
              <w:right w:val="single" w:sz="4" w:space="0" w:color="000000"/>
            </w:tcBorders>
            <w:vAlign w:val="center"/>
          </w:tcPr>
          <w:p>
            <w:pPr>
              <w:pStyle w:val="Normal"/>
              <w:widowControl w:val="false"/>
              <w:spacing w:lineRule="auto" w:line="240" w:before="0" w:after="0"/>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Морской и внутренний водный транспорт</w:t>
            </w:r>
          </w:p>
        </w:tc>
      </w:tr>
      <w:tr>
        <w:trPr/>
        <w:tc>
          <w:tcPr>
            <w:tcW w:w="6123" w:type="dxa"/>
            <w:vMerge w:val="restart"/>
            <w:tcBorders>
              <w:left w:val="single" w:sz="4" w:space="0" w:color="000000"/>
              <w:bottom w:val="single" w:sz="4" w:space="0" w:color="000000"/>
            </w:tcBorders>
          </w:tcPr>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ФГУП «Росморпорт»</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(проект программы деятельности/2021-2024)</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ПАО «НМТП»</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(проект программы деятельности/2021-2025)</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b/>
                <w:b/>
                <w:kern w:val="0"/>
                <w:sz w:val="24"/>
                <w:szCs w:val="24"/>
                <w:lang w:val="ru-RU" w:eastAsia="en-US" w:bidi="ar-SA"/>
              </w:rPr>
            </w:pPr>
            <w:r>
              <w:rPr>
                <w:rFonts w:eastAsia="Calibri" w:cs="Times New Roman"/>
                <w:b/>
                <w:kern w:val="0"/>
                <w:sz w:val="24"/>
                <w:szCs w:val="24"/>
                <w:lang w:val="ru-RU" w:eastAsia="en-US" w:bidi="ar-SA"/>
              </w:rPr>
              <w:t>ПАО «Совкомфлот»</w:t>
            </w:r>
          </w:p>
          <w:p>
            <w:pPr>
              <w:pStyle w:val="ListParagraph1"/>
              <w:widowControl w:val="false"/>
              <w:tabs>
                <w:tab w:val="clear" w:pos="708"/>
                <w:tab w:val="left" w:pos="851" w:leader="none"/>
              </w:tabs>
              <w:spacing w:lineRule="auto" w:line="240" w:before="0" w:after="0"/>
              <w:ind w:left="0" w:right="0" w:hanging="0"/>
              <w:contextualSpacing/>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(проект программы деятельности/2021-2024)</w:t>
            </w:r>
          </w:p>
        </w:tc>
        <w:tc>
          <w:tcPr>
            <w:tcW w:w="3657" w:type="dxa"/>
            <w:tcBorders>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Общий объем инвестирования</w:t>
            </w:r>
          </w:p>
        </w:tc>
        <w:tc>
          <w:tcPr>
            <w:tcW w:w="1108"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235,01</w:t>
            </w:r>
          </w:p>
        </w:tc>
        <w:tc>
          <w:tcPr>
            <w:tcW w:w="975"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59,22</w:t>
            </w:r>
          </w:p>
        </w:tc>
        <w:tc>
          <w:tcPr>
            <w:tcW w:w="1129"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59,63</w:t>
            </w:r>
          </w:p>
        </w:tc>
        <w:tc>
          <w:tcPr>
            <w:tcW w:w="1130"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62,89</w:t>
            </w:r>
          </w:p>
        </w:tc>
        <w:tc>
          <w:tcPr>
            <w:tcW w:w="1159" w:type="dxa"/>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53,28</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1. по направлениям:</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новое строительство</w:t>
            </w:r>
          </w:p>
        </w:tc>
        <w:tc>
          <w:tcPr>
            <w:tcW w:w="1108"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203,22</w:t>
            </w:r>
          </w:p>
        </w:tc>
        <w:tc>
          <w:tcPr>
            <w:tcW w:w="975"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52,36</w:t>
            </w:r>
          </w:p>
        </w:tc>
        <w:tc>
          <w:tcPr>
            <w:tcW w:w="1129"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52,72</w:t>
            </w:r>
          </w:p>
        </w:tc>
        <w:tc>
          <w:tcPr>
            <w:tcW w:w="1130"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53,96</w:t>
            </w:r>
          </w:p>
        </w:tc>
        <w:tc>
          <w:tcPr>
            <w:tcW w:w="1159" w:type="dxa"/>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44,19</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реконструкция</w:t>
            </w:r>
          </w:p>
        </w:tc>
        <w:tc>
          <w:tcPr>
            <w:tcW w:w="1108"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27,87</w:t>
            </w:r>
          </w:p>
        </w:tc>
        <w:tc>
          <w:tcPr>
            <w:tcW w:w="975"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5,53</w:t>
            </w:r>
          </w:p>
        </w:tc>
        <w:tc>
          <w:tcPr>
            <w:tcW w:w="1129"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6,00</w:t>
            </w:r>
          </w:p>
        </w:tc>
        <w:tc>
          <w:tcPr>
            <w:tcW w:w="1130"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7,64</w:t>
            </w:r>
          </w:p>
        </w:tc>
        <w:tc>
          <w:tcPr>
            <w:tcW w:w="1159" w:type="dxa"/>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8,70</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top w:val="single" w:sz="4" w:space="0" w:color="000000"/>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модернизация</w:t>
            </w:r>
          </w:p>
        </w:tc>
        <w:tc>
          <w:tcPr>
            <w:tcW w:w="1108" w:type="dxa"/>
            <w:tcBorders>
              <w:top w:val="single" w:sz="4" w:space="0" w:color="000000"/>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3,28</w:t>
            </w:r>
          </w:p>
        </w:tc>
        <w:tc>
          <w:tcPr>
            <w:tcW w:w="975" w:type="dxa"/>
            <w:tcBorders>
              <w:top w:val="single" w:sz="4" w:space="0" w:color="000000"/>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1,17</w:t>
            </w:r>
          </w:p>
        </w:tc>
        <w:tc>
          <w:tcPr>
            <w:tcW w:w="1129" w:type="dxa"/>
            <w:tcBorders>
              <w:top w:val="single" w:sz="4" w:space="0" w:color="000000"/>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0,81</w:t>
            </w:r>
          </w:p>
        </w:tc>
        <w:tc>
          <w:tcPr>
            <w:tcW w:w="1130" w:type="dxa"/>
            <w:tcBorders>
              <w:top w:val="single" w:sz="4" w:space="0" w:color="000000"/>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1,27</w:t>
            </w:r>
          </w:p>
        </w:tc>
        <w:tc>
          <w:tcPr>
            <w:tcW w:w="1159"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0,02</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вложения в финансовые инструменты</w:t>
            </w:r>
          </w:p>
        </w:tc>
        <w:tc>
          <w:tcPr>
            <w:tcW w:w="1108"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0,64</w:t>
            </w:r>
          </w:p>
        </w:tc>
        <w:tc>
          <w:tcPr>
            <w:tcW w:w="975"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0,16</w:t>
            </w:r>
          </w:p>
        </w:tc>
        <w:tc>
          <w:tcPr>
            <w:tcW w:w="1129"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0,10</w:t>
            </w:r>
          </w:p>
        </w:tc>
        <w:tc>
          <w:tcPr>
            <w:tcW w:w="1130"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0,02</w:t>
            </w:r>
          </w:p>
        </w:tc>
        <w:tc>
          <w:tcPr>
            <w:tcW w:w="1159" w:type="dxa"/>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0,36</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9158" w:type="dxa"/>
            <w:gridSpan w:val="6"/>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2. по источникам финансирования:</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собственные средства</w:t>
            </w:r>
          </w:p>
        </w:tc>
        <w:tc>
          <w:tcPr>
            <w:tcW w:w="1108"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101,84</w:t>
            </w:r>
          </w:p>
        </w:tc>
        <w:tc>
          <w:tcPr>
            <w:tcW w:w="975"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18,07</w:t>
            </w:r>
          </w:p>
        </w:tc>
        <w:tc>
          <w:tcPr>
            <w:tcW w:w="1129"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25,13</w:t>
            </w:r>
          </w:p>
        </w:tc>
        <w:tc>
          <w:tcPr>
            <w:tcW w:w="1130"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33,38</w:t>
            </w:r>
          </w:p>
        </w:tc>
        <w:tc>
          <w:tcPr>
            <w:tcW w:w="1159" w:type="dxa"/>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25,26</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привлеченное финансирование</w:t>
            </w:r>
          </w:p>
        </w:tc>
        <w:tc>
          <w:tcPr>
            <w:tcW w:w="1108"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82,75</w:t>
            </w:r>
          </w:p>
        </w:tc>
        <w:tc>
          <w:tcPr>
            <w:tcW w:w="975"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17,66</w:t>
            </w:r>
          </w:p>
        </w:tc>
        <w:tc>
          <w:tcPr>
            <w:tcW w:w="1129"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23,99</w:t>
            </w:r>
          </w:p>
        </w:tc>
        <w:tc>
          <w:tcPr>
            <w:tcW w:w="1130"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23,71</w:t>
            </w:r>
          </w:p>
        </w:tc>
        <w:tc>
          <w:tcPr>
            <w:tcW w:w="1159" w:type="dxa"/>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17,39</w:t>
            </w:r>
          </w:p>
        </w:tc>
      </w:tr>
      <w:tr>
        <w:trPr/>
        <w:tc>
          <w:tcPr>
            <w:tcW w:w="6123" w:type="dxa"/>
            <w:vMerge w:val="continue"/>
            <w:tcBorders>
              <w:left w:val="single" w:sz="4" w:space="0" w:color="000000"/>
              <w:bottom w:val="single" w:sz="4" w:space="0" w:color="000000"/>
            </w:tcBorders>
          </w:tcPr>
          <w:p>
            <w:pPr>
              <w:pStyle w:val="Normal"/>
              <w:widowControl w:val="false"/>
              <w:rPr/>
            </w:pPr>
            <w:r>
              <w:rPr/>
            </w:r>
          </w:p>
        </w:tc>
        <w:tc>
          <w:tcPr>
            <w:tcW w:w="3657" w:type="dxa"/>
            <w:tcBorders>
              <w:left w:val="single" w:sz="4" w:space="0" w:color="000000"/>
              <w:bottom w:val="single" w:sz="4" w:space="0" w:color="000000"/>
            </w:tcBorders>
            <w:vAlign w:val="bottom"/>
          </w:tcPr>
          <w:p>
            <w:pPr>
              <w:pStyle w:val="Normal"/>
              <w:widowControl w:val="false"/>
              <w:spacing w:lineRule="auto" w:line="240" w:before="0" w:after="0"/>
              <w:jc w:val="left"/>
              <w:rPr>
                <w:rFonts w:eastAsia="Calibri" w:cs="Times New Roman"/>
                <w:color w:val="000000"/>
                <w:kern w:val="0"/>
                <w:sz w:val="24"/>
                <w:szCs w:val="24"/>
                <w:lang w:val="ru-RU" w:eastAsia="en-US" w:bidi="ar-SA"/>
              </w:rPr>
            </w:pPr>
            <w:r>
              <w:rPr>
                <w:rFonts w:eastAsia="Calibri" w:cs="Times New Roman"/>
                <w:color w:val="000000"/>
                <w:kern w:val="0"/>
                <w:sz w:val="24"/>
                <w:szCs w:val="24"/>
                <w:lang w:val="ru-RU" w:eastAsia="en-US" w:bidi="ar-SA"/>
              </w:rPr>
              <w:t>средства федерального бюджета</w:t>
            </w:r>
          </w:p>
        </w:tc>
        <w:tc>
          <w:tcPr>
            <w:tcW w:w="1108"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50,43</w:t>
            </w:r>
          </w:p>
        </w:tc>
        <w:tc>
          <w:tcPr>
            <w:tcW w:w="975"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23,49</w:t>
            </w:r>
          </w:p>
        </w:tc>
        <w:tc>
          <w:tcPr>
            <w:tcW w:w="1129"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10,51</w:t>
            </w:r>
          </w:p>
        </w:tc>
        <w:tc>
          <w:tcPr>
            <w:tcW w:w="1130" w:type="dxa"/>
            <w:tcBorders>
              <w:left w:val="single" w:sz="4" w:space="0" w:color="000000"/>
              <w:bottom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5,80</w:t>
            </w:r>
          </w:p>
        </w:tc>
        <w:tc>
          <w:tcPr>
            <w:tcW w:w="1159" w:type="dxa"/>
            <w:tcBorders>
              <w:left w:val="single" w:sz="4" w:space="0" w:color="000000"/>
              <w:bottom w:val="single" w:sz="4" w:space="0" w:color="000000"/>
              <w:right w:val="single" w:sz="4" w:space="0" w:color="000000"/>
            </w:tcBorders>
            <w:vAlign w:val="bottom"/>
          </w:tcPr>
          <w:p>
            <w:pPr>
              <w:pStyle w:val="Normal"/>
              <w:widowControl w:val="false"/>
              <w:spacing w:lineRule="auto" w:line="240" w:before="0" w:after="0"/>
              <w:jc w:val="center"/>
              <w:rPr>
                <w:rFonts w:eastAsia="Calibri" w:cs="Times New Roman"/>
                <w:kern w:val="0"/>
                <w:sz w:val="24"/>
                <w:szCs w:val="24"/>
                <w:lang w:val="ru-RU" w:eastAsia="en-US" w:bidi="ar-SA"/>
              </w:rPr>
            </w:pPr>
            <w:r>
              <w:rPr>
                <w:rFonts w:eastAsia="Calibri" w:cs="Times New Roman"/>
                <w:kern w:val="0"/>
                <w:sz w:val="24"/>
                <w:szCs w:val="24"/>
                <w:lang w:val="ru-RU" w:eastAsia="en-US" w:bidi="ar-SA"/>
              </w:rPr>
              <w:t>10,62</w:t>
            </w:r>
          </w:p>
        </w:tc>
      </w:tr>
    </w:tbl>
    <w:p>
      <w:pPr>
        <w:pStyle w:val="Normal"/>
        <w:widowControl w:val="false"/>
        <w:spacing w:lineRule="auto" w:line="360"/>
        <w:ind w:left="0" w:right="0" w:firstLine="709"/>
        <w:jc w:val="both"/>
        <w:rPr>
          <w:rFonts w:ascii="Times New Roman" w:hAnsi="Times New Roman" w:cs="Times New Roman"/>
          <w:sz w:val="28"/>
          <w:szCs w:val="28"/>
        </w:rPr>
      </w:pPr>
      <w:r>
        <w:rPr>
          <w:rFonts w:cs="Times New Roman"/>
          <w:sz w:val="28"/>
          <w:szCs w:val="28"/>
        </w:rPr>
      </w:r>
      <w:r>
        <w:br w:type="page"/>
      </w:r>
    </w:p>
    <w:p>
      <w:pPr>
        <w:pStyle w:val="Normal"/>
        <w:widowControl w:val="false"/>
        <w:spacing w:lineRule="auto" w:line="312"/>
        <w:jc w:val="center"/>
        <w:rPr>
          <w:b/>
          <w:b/>
          <w:color w:val="000000"/>
        </w:rPr>
      </w:pPr>
      <w:bookmarkStart w:id="3" w:name="_GoBack"/>
      <w:bookmarkEnd w:id="3"/>
      <w:r>
        <w:rPr>
          <w:b/>
          <w:color w:val="000000"/>
        </w:rPr>
        <w:t>ПЛАН – ГРАФИК</w:t>
      </w:r>
    </w:p>
    <w:p>
      <w:pPr>
        <w:pStyle w:val="Normal"/>
        <w:jc w:val="center"/>
        <w:rPr>
          <w:b/>
          <w:b/>
          <w:color w:val="000000"/>
        </w:rPr>
      </w:pPr>
      <w:r>
        <w:rPr>
          <w:b/>
          <w:color w:val="000000"/>
        </w:rPr>
        <w:t>мероприятий по реализации документов стратегического планирования</w:t>
      </w:r>
    </w:p>
    <w:tbl>
      <w:tblPr>
        <w:tblW w:w="15088" w:type="dxa"/>
        <w:jc w:val="left"/>
        <w:tblInd w:w="-5" w:type="dxa"/>
        <w:tblLayout w:type="fixed"/>
        <w:tblCellMar>
          <w:top w:w="0" w:type="dxa"/>
          <w:left w:w="108" w:type="dxa"/>
          <w:bottom w:w="0" w:type="dxa"/>
          <w:right w:w="108" w:type="dxa"/>
        </w:tblCellMar>
      </w:tblPr>
      <w:tblGrid>
        <w:gridCol w:w="2536"/>
        <w:gridCol w:w="24"/>
        <w:gridCol w:w="2378"/>
        <w:gridCol w:w="24"/>
        <w:gridCol w:w="1842"/>
        <w:gridCol w:w="1399"/>
        <w:gridCol w:w="922"/>
        <w:gridCol w:w="42"/>
        <w:gridCol w:w="890"/>
        <w:gridCol w:w="859"/>
        <w:gridCol w:w="92"/>
        <w:gridCol w:w="925"/>
        <w:gridCol w:w="851"/>
        <w:gridCol w:w="72"/>
        <w:gridCol w:w="919"/>
        <w:gridCol w:w="1311"/>
      </w:tblGrid>
      <w:tr>
        <w:trPr>
          <w:tblHeader w:val="true"/>
          <w:trHeight w:val="720" w:hRule="atLeast"/>
        </w:trPr>
        <w:tc>
          <w:tcPr>
            <w:tcW w:w="2536" w:type="dxa"/>
            <w:vMerge w:val="restart"/>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Мероприятие</w:t>
            </w:r>
          </w:p>
        </w:tc>
        <w:tc>
          <w:tcPr>
            <w:tcW w:w="2426"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Ожидаемые результаты</w:t>
            </w:r>
          </w:p>
        </w:tc>
        <w:tc>
          <w:tcPr>
            <w:tcW w:w="1842"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Индикаторы реализации мероприятий</w:t>
            </w:r>
          </w:p>
        </w:tc>
        <w:tc>
          <w:tcPr>
            <w:tcW w:w="1399"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Тип деятельности</w:t>
            </w:r>
          </w:p>
        </w:tc>
        <w:tc>
          <w:tcPr>
            <w:tcW w:w="5572" w:type="dxa"/>
            <w:gridSpan w:val="9"/>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Срок реализации мероприятия, значение индикатора</w:t>
            </w:r>
          </w:p>
        </w:tc>
        <w:tc>
          <w:tcPr>
            <w:tcW w:w="1311" w:type="dxa"/>
            <w:vMerge w:val="restart"/>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Источник</w:t>
            </w:r>
          </w:p>
        </w:tc>
      </w:tr>
      <w:tr>
        <w:trPr>
          <w:tblHeader w:val="true"/>
          <w:trHeight w:val="262" w:hRule="atLeast"/>
        </w:trPr>
        <w:tc>
          <w:tcPr>
            <w:tcW w:w="25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rPr/>
            </w:pPr>
            <w:r>
              <w:rPr/>
            </w:r>
          </w:p>
        </w:tc>
        <w:tc>
          <w:tcPr>
            <w:tcW w:w="2426"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
          </w:p>
        </w:tc>
        <w:tc>
          <w:tcPr>
            <w:tcW w:w="184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
          </w:p>
        </w:tc>
        <w:tc>
          <w:tcPr>
            <w:tcW w:w="1399"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
          </w:p>
        </w:tc>
        <w:tc>
          <w:tcPr>
            <w:tcW w:w="92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2019</w:t>
            </w:r>
          </w:p>
        </w:tc>
        <w:tc>
          <w:tcPr>
            <w:tcW w:w="93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2020</w:t>
            </w:r>
          </w:p>
        </w:tc>
        <w:tc>
          <w:tcPr>
            <w:tcW w:w="951"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2021</w:t>
            </w:r>
          </w:p>
        </w:tc>
        <w:tc>
          <w:tcPr>
            <w:tcW w:w="925"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2022</w:t>
            </w:r>
          </w:p>
        </w:tc>
        <w:tc>
          <w:tcPr>
            <w:tcW w:w="92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2023</w:t>
            </w:r>
          </w:p>
        </w:tc>
        <w:tc>
          <w:tcPr>
            <w:tcW w:w="91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2024</w:t>
            </w:r>
          </w:p>
        </w:tc>
        <w:tc>
          <w:tcPr>
            <w:tcW w:w="1311"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widowControl w:val="false"/>
              <w:rPr/>
            </w:pPr>
            <w:r>
              <w:rPr/>
            </w:r>
          </w:p>
        </w:tc>
      </w:tr>
      <w:tr>
        <w:trPr>
          <w:tblHeader w:val="true"/>
          <w:trHeight w:val="196" w:hRule="atLeast"/>
        </w:trPr>
        <w:tc>
          <w:tcPr>
            <w:tcW w:w="2536" w:type="dxa"/>
            <w:tcBorders>
              <w:top w:val="single" w:sz="4" w:space="0" w:color="000000"/>
              <w:left w:val="single" w:sz="4" w:space="0" w:color="000000"/>
              <w:bottom w:val="single" w:sz="4" w:space="0" w:color="000000"/>
              <w:right w:val="single" w:sz="4" w:space="0" w:color="000000"/>
            </w:tcBorders>
            <w:vAlign w:val="bottom"/>
          </w:tcPr>
          <w:p>
            <w:pPr>
              <w:pStyle w:val="ListParagraph1"/>
              <w:keepNext w:val="true"/>
              <w:widowControl w:val="false"/>
              <w:suppressAutoHyphens w:val="true"/>
              <w:spacing w:lineRule="auto" w:line="240" w:before="0" w:after="0"/>
              <w:ind w:left="0" w:right="0" w:hanging="0"/>
              <w:contextualSpacing/>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w:t>
            </w:r>
          </w:p>
        </w:tc>
        <w:tc>
          <w:tcPr>
            <w:tcW w:w="2426" w:type="dxa"/>
            <w:gridSpan w:val="3"/>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w:t>
            </w:r>
          </w:p>
        </w:tc>
        <w:tc>
          <w:tcPr>
            <w:tcW w:w="184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w:t>
            </w:r>
          </w:p>
        </w:tc>
        <w:tc>
          <w:tcPr>
            <w:tcW w:w="1399"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922"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w:t>
            </w:r>
          </w:p>
        </w:tc>
        <w:tc>
          <w:tcPr>
            <w:tcW w:w="932" w:type="dxa"/>
            <w:gridSpan w:val="2"/>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w:t>
            </w:r>
          </w:p>
        </w:tc>
        <w:tc>
          <w:tcPr>
            <w:tcW w:w="951" w:type="dxa"/>
            <w:gridSpan w:val="2"/>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w:t>
            </w:r>
          </w:p>
        </w:tc>
        <w:tc>
          <w:tcPr>
            <w:tcW w:w="925"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w:t>
            </w:r>
          </w:p>
        </w:tc>
        <w:tc>
          <w:tcPr>
            <w:tcW w:w="923" w:type="dxa"/>
            <w:gridSpan w:val="2"/>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w:t>
            </w:r>
          </w:p>
        </w:tc>
        <w:tc>
          <w:tcPr>
            <w:tcW w:w="919"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w:t>
            </w:r>
          </w:p>
        </w:tc>
        <w:tc>
          <w:tcPr>
            <w:tcW w:w="1311"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11</w:t>
            </w:r>
          </w:p>
        </w:tc>
      </w:tr>
      <w:tr>
        <w:trPr>
          <w:trHeight w:val="749"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sz w:val="20"/>
              </w:rPr>
            </w:pPr>
            <w:r>
              <w:rPr>
                <w:b/>
                <w:color w:val="000000"/>
                <w:spacing w:val="0"/>
                <w:kern w:val="0"/>
                <w:sz w:val="20"/>
                <w:szCs w:val="20"/>
              </w:rPr>
              <w:t>Цель 1. Ускорение товародвижения на основе повышения индекса качества транспортной инфраструктуры на 15,5 процента относительно уровня 2017 года</w:t>
            </w:r>
            <w:r>
              <w:rPr>
                <w:rStyle w:val="Style10"/>
                <w:b/>
                <w:color w:val="000000"/>
                <w:spacing w:val="0"/>
                <w:kern w:val="0"/>
                <w:sz w:val="20"/>
                <w:szCs w:val="20"/>
              </w:rPr>
              <w:footnoteReference w:id="13"/>
            </w:r>
            <w:r>
              <w:rPr>
                <w:b/>
                <w:color w:val="000000"/>
                <w:spacing w:val="0"/>
                <w:kern w:val="0"/>
                <w:sz w:val="20"/>
                <w:szCs w:val="20"/>
              </w:rPr>
              <w:t>.</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Ответственные исполнители:</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первый заместитель Министра транспорта Российской Федерации А.А. Костюк,</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В.А. Токарев,</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А.И. Пошивай,</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И.П. Чалик</w:t>
            </w:r>
          </w:p>
        </w:tc>
      </w:tr>
      <w:tr>
        <w:trPr>
          <w:trHeight w:val="338"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1.1. Развитие инфраструктуры железнодорожного транспорта</w:t>
            </w:r>
          </w:p>
        </w:tc>
      </w:tr>
      <w:tr>
        <w:trPr>
          <w:trHeight w:val="950"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shd w:fill="auto" w:val="clear"/>
              </w:rPr>
            </w:pPr>
            <w:r>
              <w:rPr>
                <w:b/>
                <w:color w:val="000000"/>
                <w:spacing w:val="0"/>
                <w:kern w:val="0"/>
                <w:sz w:val="20"/>
                <w:szCs w:val="20"/>
                <w:shd w:fill="auto" w:val="clear"/>
              </w:rPr>
              <w:t>Индикатор направления (блока мероприятий) 1.1.</w:t>
            </w:r>
          </w:p>
          <w:p>
            <w:pPr>
              <w:pStyle w:val="Normal"/>
              <w:widowControl w:val="false"/>
              <w:suppressAutoHyphens w:val="true"/>
              <w:overflowPunct w:val="true"/>
              <w:bidi w:val="0"/>
              <w:spacing w:lineRule="auto" w:line="240" w:before="0" w:after="0"/>
              <w:ind w:left="1400" w:right="0" w:hanging="0"/>
              <w:jc w:val="both"/>
              <w:rPr>
                <w:b/>
                <w:b/>
                <w:color w:val="000000"/>
                <w:spacing w:val="0"/>
                <w:kern w:val="0"/>
                <w:sz w:val="20"/>
                <w:szCs w:val="20"/>
                <w:shd w:fill="auto" w:val="clear"/>
              </w:rPr>
            </w:pPr>
            <w:r>
              <w:rPr>
                <w:b/>
                <w:color w:val="000000"/>
                <w:spacing w:val="0"/>
                <w:kern w:val="0"/>
                <w:sz w:val="20"/>
                <w:szCs w:val="20"/>
                <w:shd w:fill="auto" w:val="clear"/>
              </w:rPr>
              <w:t>Средняя скорость доставки транзитного контейнеропотока, км/сутки</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sz w:val="20"/>
                <w:szCs w:val="20"/>
              </w:rPr>
              <w:t>931</w:t>
            </w:r>
            <w:r>
              <w:rPr>
                <w:sz w:val="20"/>
                <w:szCs w:val="20"/>
                <w:vertAlign w:val="superscript"/>
              </w:rPr>
              <w:t>13</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998</w:t>
            </w:r>
            <w:r>
              <w:rPr>
                <w:rStyle w:val="Style10"/>
                <w:color w:val="000000"/>
                <w:spacing w:val="0"/>
                <w:kern w:val="0"/>
                <w:sz w:val="20"/>
                <w:szCs w:val="20"/>
                <w:shd w:fill="auto" w:val="clear"/>
              </w:rPr>
              <w:footnoteReference w:id="14"/>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УП 1</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ОНДП</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НП 1</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4</w:t>
            </w:r>
          </w:p>
        </w:tc>
      </w:tr>
      <w:tr>
        <w:trPr>
          <w:trHeight w:val="950"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 xml:space="preserve">Объем транзитных перевозок контейнеров железнодорожным транспортом, </w:t>
              <w:br/>
              <w:t>тыс. штук в двадцатифутовом эквиваленте</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615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680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850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1114</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1358</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1656</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26</w:t>
            </w:r>
          </w:p>
        </w:tc>
      </w:tr>
      <w:tr>
        <w:trPr>
          <w:trHeight w:val="414"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43" w:right="0" w:hanging="0"/>
              <w:jc w:val="both"/>
              <w:rPr>
                <w:color w:val="000000"/>
                <w:spacing w:val="0"/>
                <w:kern w:val="0"/>
                <w:sz w:val="20"/>
                <w:szCs w:val="20"/>
              </w:rPr>
            </w:pPr>
            <w:r>
              <w:rPr>
                <w:color w:val="000000"/>
                <w:spacing w:val="0"/>
                <w:kern w:val="0"/>
                <w:sz w:val="20"/>
                <w:szCs w:val="20"/>
              </w:rPr>
              <w:t xml:space="preserve">Сроки доставки транзитных контейнерных перевозок на направлении </w:t>
              <w:br/>
              <w:t>«Север – Юг» (Красное, порты и погранпереходы Северо-Запада – Самур), сутки</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2,5</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2,1</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26</w:t>
            </w:r>
          </w:p>
        </w:tc>
      </w:tr>
      <w:tr>
        <w:trPr>
          <w:trHeight w:val="414"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43" w:right="0" w:hanging="0"/>
              <w:jc w:val="both"/>
              <w:rPr>
                <w:color w:val="000000"/>
                <w:spacing w:val="0"/>
                <w:kern w:val="0"/>
                <w:sz w:val="20"/>
                <w:szCs w:val="20"/>
              </w:rPr>
            </w:pPr>
            <w:r>
              <w:rPr>
                <w:color w:val="000000"/>
                <w:spacing w:val="0"/>
                <w:kern w:val="0"/>
                <w:sz w:val="20"/>
                <w:szCs w:val="20"/>
              </w:rPr>
              <w:t xml:space="preserve">Сроки доставки транзитных контейнерных перевозок на направлении </w:t>
              <w:br/>
              <w:t>«Европа – Западный Китай» (Красное - Илецк, Озинки, Карталы, Петропавловск),</w:t>
              <w:br/>
              <w:t>сутки</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2,3</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2,2</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2,2</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2,2</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2,2</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1,6</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6</w:t>
            </w:r>
          </w:p>
        </w:tc>
      </w:tr>
      <w:tr>
        <w:trPr>
          <w:trHeight w:val="414"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43" w:right="0" w:hanging="0"/>
              <w:jc w:val="both"/>
              <w:rPr>
                <w:color w:val="000000"/>
                <w:spacing w:val="0"/>
                <w:kern w:val="0"/>
                <w:sz w:val="20"/>
                <w:szCs w:val="20"/>
              </w:rPr>
            </w:pPr>
            <w:r>
              <w:rPr>
                <w:color w:val="000000"/>
                <w:spacing w:val="0"/>
                <w:kern w:val="0"/>
                <w:sz w:val="20"/>
                <w:szCs w:val="20"/>
              </w:rPr>
              <w:t xml:space="preserve">Сроки доставки транзитных контейнерных перевозок на направлении </w:t>
              <w:br/>
              <w:t>«Запад – Восток» (Красное, порты и погранпереходы Северо-Запада - Наушки, Забайкальск, порты и погранпереходы Дальнего Востока), сутки</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8,9</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6</w:t>
            </w:r>
          </w:p>
        </w:tc>
      </w:tr>
      <w:tr>
        <w:trPr>
          <w:trHeight w:val="414"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spacing w:val="0"/>
                <w:kern w:val="0"/>
                <w:sz w:val="20"/>
                <w:szCs w:val="20"/>
              </w:rPr>
              <w:t xml:space="preserve">Мероприятие 1.1.1. </w:t>
            </w:r>
            <w:r>
              <w:rPr>
                <w:rFonts w:eastAsia="Tahoma" w:cs="Droid Sans Devanagari"/>
                <w:color w:val="000000"/>
                <w:spacing w:val="0"/>
                <w:kern w:val="0"/>
                <w:sz w:val="20"/>
                <w:szCs w:val="20"/>
                <w:lang w:val="ru-RU" w:eastAsia="zh-CN" w:bidi="hi-IN"/>
              </w:rPr>
              <w:t>Увеличение пропускной и провозной способности железнодорожной инфраструктуры для увеличения транзитного контейнеропотока</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И.Ю. Коваль</w:t>
            </w:r>
          </w:p>
          <w:p>
            <w:pPr>
              <w:pStyle w:val="Normal"/>
              <w:widowControl w:val="false"/>
              <w:suppressAutoHyphens w:val="true"/>
              <w:spacing w:lineRule="auto" w:line="240" w:before="0" w:after="0"/>
              <w:ind w:left="0" w:right="0" w:hanging="0"/>
              <w:jc w:val="left"/>
              <w:rPr>
                <w:b/>
                <w:b/>
                <w:color w:val="000000"/>
                <w:sz w:val="20"/>
              </w:rPr>
            </w:pPr>
            <w:r>
              <w:rPr>
                <w:b/>
                <w:color w:val="000000"/>
                <w:sz w:val="20"/>
              </w:rPr>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rFonts w:eastAsia="Tahoma" w:cs="Droid Sans Devanagari"/>
                <w:b w:val="false"/>
                <w:color w:val="000000"/>
                <w:spacing w:val="0"/>
                <w:kern w:val="0"/>
                <w:sz w:val="20"/>
                <w:szCs w:val="20"/>
                <w:lang w:val="ru-RU" w:eastAsia="zh-CN" w:bidi="hi-IN"/>
              </w:rPr>
              <w:t>По итогам реализации мероприятия будет увеличена пропускная и провозная способность инфраструктуры для увеличения транзитного контейнеропотока в 4 раза, что позволит уменьшить сроки доставки контейнеров по основным трем коридорам, а также увеличит количество доставок</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pPr>
            <w:r>
              <w:rPr>
                <w:rFonts w:eastAsia="Tahoma" w:cs="Droid Sans Devanagari"/>
                <w:b w:val="false"/>
                <w:color w:val="000000"/>
                <w:spacing w:val="0"/>
                <w:kern w:val="0"/>
                <w:sz w:val="20"/>
                <w:szCs w:val="20"/>
                <w:lang w:val="ru-RU" w:eastAsia="zh-CN" w:bidi="hi-IN"/>
              </w:rPr>
              <w:t>В соответствии с контрольными точками реализации</w:t>
            </w:r>
            <w:r>
              <w:rPr/>
              <w:t xml:space="preserve"> </w:t>
            </w:r>
            <w:r>
              <w:rPr>
                <w:rFonts w:eastAsia="Tahoma" w:cs="Droid Sans Devanagari"/>
                <w:b w:val="false"/>
                <w:color w:val="000000"/>
                <w:spacing w:val="0"/>
                <w:kern w:val="0"/>
                <w:sz w:val="20"/>
                <w:szCs w:val="20"/>
                <w:shd w:fill="auto" w:val="clear"/>
                <w:lang w:val="ru-RU" w:eastAsia="zh-CN" w:bidi="hi-IN"/>
              </w:rPr>
              <w:t>ФП 4</w:t>
            </w:r>
            <w:r>
              <w:rPr>
                <w:rFonts w:eastAsia="Tahoma" w:cs="Droid Sans Devanagari"/>
                <w:b w:val="false"/>
                <w:color w:val="000000"/>
                <w:spacing w:val="0"/>
                <w:kern w:val="0"/>
                <w:sz w:val="20"/>
                <w:szCs w:val="20"/>
                <w:lang w:val="ru-RU" w:eastAsia="zh-CN" w:bidi="hi-IN"/>
              </w:rPr>
              <w:t xml:space="preserve"> и ФП 19</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6</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43" w:right="0" w:hanging="0"/>
              <w:jc w:val="both"/>
              <w:rPr>
                <w:color w:val="000000"/>
                <w:spacing w:val="0"/>
                <w:kern w:val="0"/>
                <w:sz w:val="20"/>
                <w:szCs w:val="20"/>
              </w:rPr>
            </w:pPr>
            <w:r>
              <w:rPr>
                <w:color w:val="000000"/>
                <w:spacing w:val="0"/>
                <w:kern w:val="0"/>
                <w:sz w:val="20"/>
                <w:szCs w:val="20"/>
              </w:rPr>
              <w:t>Суммарная провозная способность магистралей, млн. тонн</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132</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144</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144</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158</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173</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180</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19</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1.1.2. </w:t>
            </w:r>
            <w:r>
              <w:rPr>
                <w:color w:val="000000"/>
                <w:spacing w:val="0"/>
                <w:kern w:val="0"/>
                <w:sz w:val="20"/>
                <w:szCs w:val="20"/>
              </w:rPr>
              <w:t xml:space="preserve"> Модернизация железнодорожной инфраструктуры Байкало-Амурской и Транссибирской железнодорожных магистралей с развитием пропускных и провозных способностей (I и II этапы)</w:t>
            </w:r>
          </w:p>
          <w:p>
            <w:pPr>
              <w:pStyle w:val="Default1"/>
              <w:widowControl w:val="false"/>
              <w:suppressAutoHyphens w:val="true"/>
              <w:spacing w:lineRule="auto" w:line="240" w:before="0" w:after="0"/>
              <w:ind w:left="0" w:right="0" w:hanging="0"/>
              <w:jc w:val="both"/>
              <w:rPr/>
            </w:pPr>
            <w:r>
              <w:rPr>
                <w:rFonts w:eastAsia="Tahoma" w:cs="Droid Sans Devanagari"/>
                <w:b/>
                <w:spacing w:val="0"/>
                <w:kern w:val="0"/>
                <w:sz w:val="20"/>
                <w:szCs w:val="20"/>
                <w:lang w:val="ru-RU" w:eastAsia="zh-CN" w:bidi="hi-IN"/>
              </w:rPr>
              <w:t>Ответственный исполнитель:</w:t>
            </w:r>
            <w:r>
              <w:rPr>
                <w:rFonts w:eastAsia="Tahoma" w:cs="Droid Sans Devanagari"/>
                <w:spacing w:val="0"/>
                <w:kern w:val="0"/>
                <w:sz w:val="20"/>
                <w:szCs w:val="20"/>
                <w:lang w:val="ru-RU" w:eastAsia="zh-CN" w:bidi="hi-IN"/>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pPr>
            <w:r>
              <w:rPr>
                <w:b w:val="false"/>
                <w:bCs w:val="false"/>
                <w:spacing w:val="0"/>
                <w:kern w:val="0"/>
                <w:sz w:val="20"/>
                <w:szCs w:val="20"/>
              </w:rPr>
              <w:t xml:space="preserve">И.Ю. </w:t>
            </w:r>
            <w:r>
              <w:rPr>
                <w:b w:val="false"/>
                <w:bCs w:val="false"/>
                <w:color w:val="000000"/>
                <w:spacing w:val="0"/>
                <w:kern w:val="0"/>
                <w:sz w:val="20"/>
                <w:szCs w:val="20"/>
              </w:rPr>
              <w:t>Коваль</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Default1"/>
              <w:widowControl w:val="false"/>
              <w:suppressAutoHyphens w:val="true"/>
              <w:spacing w:lineRule="auto" w:line="240" w:before="0" w:after="0"/>
              <w:ind w:left="0" w:right="0" w:hanging="0"/>
              <w:jc w:val="both"/>
              <w:rPr/>
            </w:pPr>
            <w:r>
              <w:rPr>
                <w:rFonts w:eastAsia="Tahoma" w:cs="Droid Sans Devanagari"/>
                <w:b w:val="false"/>
                <w:spacing w:val="0"/>
                <w:kern w:val="0"/>
                <w:sz w:val="20"/>
                <w:szCs w:val="20"/>
                <w:lang w:val="ru-RU" w:eastAsia="zh-CN" w:bidi="hi-IN"/>
              </w:rPr>
              <w:t xml:space="preserve">Осуществлена ликвидация инфраструктурных ограничений и развитие  </w:t>
            </w:r>
            <w:r>
              <w:rPr>
                <w:rFonts w:eastAsia="Tahoma" w:cs="Droid Sans Devanagari"/>
                <w:spacing w:val="0"/>
                <w:kern w:val="0"/>
                <w:sz w:val="20"/>
                <w:szCs w:val="20"/>
                <w:lang w:val="ru-RU" w:eastAsia="zh-CN" w:bidi="hi-IN"/>
              </w:rPr>
              <w:t xml:space="preserve"> железнодорожной инфраструктуры Байкало-Амурской и Транссибирской железнодорожных магистралей в целях обеспечения по итогам 2024 года увеличения провозной способности полигона в полтора раза до 180 млн. тонн в целях вывоза перспективного грузопотока</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В соответствии с контрольными точками реализации ФП 4 и ФП 19</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19</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43" w:right="0" w:hanging="0"/>
              <w:jc w:val="both"/>
              <w:rPr>
                <w:color w:val="000000"/>
                <w:spacing w:val="0"/>
                <w:kern w:val="0"/>
                <w:sz w:val="20"/>
                <w:szCs w:val="20"/>
              </w:rPr>
            </w:pPr>
            <w:r>
              <w:rPr>
                <w:color w:val="000000"/>
                <w:spacing w:val="0"/>
                <w:kern w:val="0"/>
                <w:sz w:val="20"/>
                <w:szCs w:val="20"/>
              </w:rPr>
              <w:t>Суммарная провозная способность участков к морским портам Азово-Черноморского бассейна, млн. тонн</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93</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95</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125,1</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125,1</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125,1</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125,1</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20</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Суммарная провозная способность участков на подходах к Саратовскому узлу Приволжской железной дороги, млн. тонн</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75,6</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75,6</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75,6</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75,6</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75,6</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75,6</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20</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1.1.3. </w:t>
            </w:r>
            <w:r>
              <w:rPr>
                <w:rFonts w:eastAsia="Tahoma" w:cs="Droid Sans Devanagari"/>
                <w:color w:val="000000"/>
                <w:spacing w:val="0"/>
                <w:kern w:val="0"/>
                <w:sz w:val="20"/>
                <w:szCs w:val="20"/>
                <w:lang w:val="ru-RU" w:eastAsia="zh-CN" w:bidi="hi-IN"/>
              </w:rPr>
              <w:t>Увеличение провозной способности</w:t>
            </w:r>
            <w:r>
              <w:rPr>
                <w:color w:val="000000"/>
                <w:spacing w:val="0"/>
                <w:kern w:val="0"/>
                <w:sz w:val="20"/>
                <w:szCs w:val="20"/>
              </w:rPr>
              <w:t xml:space="preserve"> железнодорожной инфраструктуры Азово-Черноморского </w:t>
            </w:r>
            <w:r>
              <w:rPr>
                <w:rFonts w:eastAsia="Tahoma" w:cs="Droid Sans Devanagari"/>
                <w:color w:val="000000"/>
                <w:spacing w:val="0"/>
                <w:kern w:val="0"/>
                <w:sz w:val="20"/>
                <w:szCs w:val="20"/>
                <w:lang w:val="ru-RU" w:eastAsia="zh-CN" w:bidi="hi-IN"/>
              </w:rPr>
              <w:t>полигона до 152 млн. тонн по итогам 2030 года</w:t>
            </w:r>
          </w:p>
          <w:p>
            <w:pPr>
              <w:pStyle w:val="Default1"/>
              <w:widowControl w:val="false"/>
              <w:suppressAutoHyphens w:val="true"/>
              <w:spacing w:lineRule="auto" w:line="240" w:before="0" w:after="0"/>
              <w:ind w:left="0" w:right="0" w:hanging="0"/>
              <w:jc w:val="both"/>
              <w:rPr/>
            </w:pPr>
            <w:r>
              <w:rPr>
                <w:rFonts w:eastAsia="Tahoma" w:cs="Droid Sans Devanagari"/>
                <w:b/>
                <w:spacing w:val="0"/>
                <w:kern w:val="0"/>
                <w:sz w:val="20"/>
                <w:szCs w:val="20"/>
                <w:lang w:val="ru-RU" w:eastAsia="zh-CN" w:bidi="hi-IN"/>
              </w:rPr>
              <w:t>Ответственный исполнитель:</w:t>
            </w:r>
            <w:r>
              <w:rPr>
                <w:rFonts w:eastAsia="Tahoma" w:cs="Droid Sans Devanagari"/>
                <w:spacing w:val="0"/>
                <w:kern w:val="0"/>
                <w:sz w:val="20"/>
                <w:szCs w:val="20"/>
                <w:lang w:val="ru-RU" w:eastAsia="zh-CN" w:bidi="hi-IN"/>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pPr>
            <w:r>
              <w:rPr>
                <w:b w:val="false"/>
                <w:bCs w:val="false"/>
                <w:spacing w:val="0"/>
                <w:kern w:val="0"/>
                <w:sz w:val="20"/>
                <w:szCs w:val="20"/>
              </w:rPr>
              <w:t xml:space="preserve">И.Ю. </w:t>
            </w:r>
            <w:r>
              <w:rPr>
                <w:b w:val="false"/>
                <w:bCs w:val="false"/>
                <w:color w:val="000000"/>
                <w:spacing w:val="0"/>
                <w:kern w:val="0"/>
                <w:sz w:val="20"/>
                <w:szCs w:val="20"/>
              </w:rPr>
              <w:t>Коваль</w:t>
            </w:r>
          </w:p>
          <w:p>
            <w:pPr>
              <w:pStyle w:val="Normal"/>
              <w:widowControl w:val="false"/>
              <w:suppressAutoHyphens w:val="true"/>
              <w:spacing w:lineRule="auto" w:line="240" w:before="0" w:after="0"/>
              <w:ind w:left="0" w:right="0" w:hanging="0"/>
              <w:jc w:val="left"/>
              <w:rPr>
                <w:b w:val="false"/>
                <w:b w:val="false"/>
                <w:bCs w:val="false"/>
                <w:color w:val="000000"/>
                <w:spacing w:val="0"/>
                <w:kern w:val="0"/>
                <w:sz w:val="20"/>
                <w:szCs w:val="20"/>
              </w:rPr>
            </w:pPr>
            <w:r>
              <w:rPr>
                <w:b w:val="false"/>
                <w:bCs w:val="false"/>
                <w:color w:val="000000"/>
                <w:spacing w:val="0"/>
                <w:kern w:val="0"/>
                <w:sz w:val="20"/>
                <w:szCs w:val="20"/>
              </w:rPr>
              <w:t>В.А. Соколов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Развитие железнодорожной инфраструктуры в рамках проекта по итогам его реализации позволит обеспечить рост провозной способности полигона к концу 2030 года до 152 млн. тонн в год, подходов к Саратовскому узлу по итогам 2025 года до 124,8 млн. тонн и провозной способности подходов к транспортному переходу через Керченский пролив со стороны Таманского полуострова и Новороссийского транспортного узла по итогам 2023 года до 17,3 млн. тонн</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В соответствии с контрольными точками реализации ФП 4 и ФП 20</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20</w:t>
            </w:r>
          </w:p>
        </w:tc>
      </w:tr>
      <w:tr>
        <w:trPr>
          <w:trHeight w:val="272"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numPr>
                <w:ilvl w:val="0"/>
                <w:numId w:val="26"/>
              </w:numPr>
              <w:ind w:left="720" w:right="0" w:hanging="360"/>
              <w:jc w:val="both"/>
              <w:rPr>
                <w:b/>
                <w:b/>
                <w:color w:val="000000"/>
                <w:sz w:val="20"/>
                <w:szCs w:val="20"/>
              </w:rPr>
            </w:pPr>
            <w:r>
              <w:rPr>
                <w:b/>
                <w:color w:val="000000"/>
                <w:sz w:val="20"/>
                <w:szCs w:val="20"/>
              </w:rPr>
              <w:t>Индикатор направления (блока мероприятий) 1.1.</w:t>
            </w:r>
          </w:p>
          <w:p>
            <w:pPr>
              <w:pStyle w:val="Normal"/>
              <w:widowControl w:val="false"/>
              <w:suppressAutoHyphens w:val="true"/>
              <w:bidi w:val="0"/>
              <w:spacing w:lineRule="auto" w:line="240" w:before="0" w:after="0"/>
              <w:ind w:left="737" w:right="0" w:hanging="0"/>
              <w:jc w:val="both"/>
              <w:rPr>
                <w:color w:val="000000"/>
                <w:sz w:val="20"/>
                <w:szCs w:val="20"/>
              </w:rPr>
            </w:pPr>
            <w:r>
              <w:rPr>
                <w:color w:val="000000"/>
                <w:sz w:val="20"/>
                <w:szCs w:val="20"/>
              </w:rPr>
              <w:t>Протяженность линии по электрификации направления Ожерелье - Узловая – Елец, км</w:t>
            </w:r>
          </w:p>
        </w:tc>
        <w:tc>
          <w:tcPr>
            <w:tcW w:w="922"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w:t>
            </w:r>
          </w:p>
        </w:tc>
        <w:tc>
          <w:tcPr>
            <w:tcW w:w="932"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w:t>
            </w:r>
          </w:p>
        </w:tc>
        <w:tc>
          <w:tcPr>
            <w:tcW w:w="951"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w:t>
            </w:r>
          </w:p>
        </w:tc>
        <w:tc>
          <w:tcPr>
            <w:tcW w:w="925"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w:t>
            </w:r>
          </w:p>
        </w:tc>
        <w:tc>
          <w:tcPr>
            <w:tcW w:w="923"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w:t>
            </w:r>
          </w:p>
        </w:tc>
        <w:tc>
          <w:tcPr>
            <w:tcW w:w="919" w:type="dxa"/>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306,0</w:t>
            </w:r>
          </w:p>
        </w:tc>
        <w:tc>
          <w:tcPr>
            <w:tcW w:w="1311"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УП 2</w:t>
            </w:r>
          </w:p>
          <w:p>
            <w:pPr>
              <w:pStyle w:val="Normal"/>
              <w:widowControl w:val="false"/>
              <w:jc w:val="center"/>
              <w:rPr>
                <w:color w:val="000000"/>
                <w:sz w:val="20"/>
                <w:szCs w:val="20"/>
              </w:rPr>
            </w:pPr>
            <w:r>
              <w:rPr>
                <w:color w:val="000000"/>
                <w:sz w:val="20"/>
                <w:szCs w:val="20"/>
              </w:rPr>
              <w:t>ОНДП</w:t>
            </w:r>
          </w:p>
          <w:p>
            <w:pPr>
              <w:pStyle w:val="Normal"/>
              <w:widowControl w:val="false"/>
              <w:jc w:val="center"/>
              <w:rPr>
                <w:color w:val="000000"/>
                <w:sz w:val="20"/>
                <w:szCs w:val="20"/>
              </w:rPr>
            </w:pPr>
            <w:r>
              <w:rPr>
                <w:color w:val="000000"/>
                <w:sz w:val="20"/>
                <w:szCs w:val="20"/>
              </w:rPr>
              <w:t>ГП 24</w:t>
            </w:r>
          </w:p>
          <w:p>
            <w:pPr>
              <w:pStyle w:val="Normal"/>
              <w:widowControl w:val="false"/>
              <w:jc w:val="center"/>
              <w:rPr>
                <w:color w:val="000000"/>
                <w:sz w:val="20"/>
                <w:szCs w:val="20"/>
              </w:rPr>
            </w:pPr>
            <w:r>
              <w:rPr>
                <w:color w:val="000000"/>
                <w:sz w:val="20"/>
                <w:szCs w:val="20"/>
              </w:rPr>
              <w:t>НП 3</w:t>
            </w:r>
          </w:p>
          <w:p>
            <w:pPr>
              <w:pStyle w:val="Normal"/>
              <w:widowControl w:val="false"/>
              <w:jc w:val="center"/>
              <w:rPr>
                <w:color w:val="000000"/>
                <w:sz w:val="20"/>
                <w:szCs w:val="20"/>
              </w:rPr>
            </w:pPr>
            <w:r>
              <w:rPr>
                <w:color w:val="000000"/>
                <w:sz w:val="20"/>
                <w:szCs w:val="20"/>
              </w:rPr>
              <w:t>ФП 20</w:t>
            </w:r>
          </w:p>
        </w:tc>
      </w:tr>
      <w:tr>
        <w:trPr>
          <w:trHeight w:val="272"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numPr>
                <w:ilvl w:val="0"/>
                <w:numId w:val="26"/>
              </w:numPr>
              <w:ind w:left="720" w:right="0" w:hanging="360"/>
              <w:jc w:val="both"/>
              <w:rPr>
                <w:b/>
                <w:b/>
                <w:color w:val="000000"/>
                <w:sz w:val="20"/>
                <w:szCs w:val="20"/>
              </w:rPr>
            </w:pPr>
            <w:r>
              <w:rPr>
                <w:b/>
                <w:color w:val="000000"/>
                <w:sz w:val="20"/>
                <w:szCs w:val="20"/>
              </w:rPr>
              <w:t>Индикатор направления (блока мероприятий) 1.1.</w:t>
            </w:r>
          </w:p>
          <w:p>
            <w:pPr>
              <w:pStyle w:val="Normal"/>
              <w:widowControl w:val="false"/>
              <w:suppressAutoHyphens w:val="true"/>
              <w:bidi w:val="0"/>
              <w:spacing w:lineRule="auto" w:line="240" w:before="0" w:after="0"/>
              <w:ind w:left="737" w:right="0" w:hanging="0"/>
              <w:jc w:val="both"/>
              <w:rPr>
                <w:color w:val="000000"/>
                <w:sz w:val="20"/>
                <w:szCs w:val="20"/>
              </w:rPr>
            </w:pPr>
            <w:r>
              <w:rPr>
                <w:color w:val="000000"/>
                <w:sz w:val="20"/>
                <w:szCs w:val="20"/>
              </w:rPr>
              <w:t>Время в пути следования по маршруту Москва – Адлер, час</w:t>
            </w:r>
          </w:p>
        </w:tc>
        <w:tc>
          <w:tcPr>
            <w:tcW w:w="922"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r>
          </w:p>
        </w:tc>
        <w:tc>
          <w:tcPr>
            <w:tcW w:w="932" w:type="dxa"/>
            <w:gridSpan w:val="2"/>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r>
          </w:p>
        </w:tc>
        <w:tc>
          <w:tcPr>
            <w:tcW w:w="951" w:type="dxa"/>
            <w:gridSpan w:val="2"/>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r>
          </w:p>
        </w:tc>
        <w:tc>
          <w:tcPr>
            <w:tcW w:w="925" w:type="dxa"/>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32,0</w:t>
            </w:r>
          </w:p>
        </w:tc>
        <w:tc>
          <w:tcPr>
            <w:tcW w:w="923" w:type="dxa"/>
            <w:gridSpan w:val="2"/>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32,0</w:t>
            </w:r>
          </w:p>
        </w:tc>
        <w:tc>
          <w:tcPr>
            <w:tcW w:w="919" w:type="dxa"/>
            <w:tcBorders>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22,0</w:t>
            </w:r>
          </w:p>
        </w:tc>
        <w:tc>
          <w:tcPr>
            <w:tcW w:w="1311"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УП 2</w:t>
            </w:r>
          </w:p>
          <w:p>
            <w:pPr>
              <w:pStyle w:val="Normal"/>
              <w:widowControl w:val="false"/>
              <w:jc w:val="center"/>
              <w:rPr>
                <w:color w:val="000000"/>
                <w:sz w:val="20"/>
                <w:szCs w:val="20"/>
              </w:rPr>
            </w:pPr>
            <w:r>
              <w:rPr>
                <w:color w:val="000000"/>
                <w:sz w:val="20"/>
                <w:szCs w:val="20"/>
              </w:rPr>
              <w:t>ОНДП</w:t>
            </w:r>
          </w:p>
          <w:p>
            <w:pPr>
              <w:pStyle w:val="Normal"/>
              <w:widowControl w:val="false"/>
              <w:jc w:val="center"/>
              <w:rPr>
                <w:color w:val="000000"/>
                <w:sz w:val="20"/>
                <w:szCs w:val="20"/>
              </w:rPr>
            </w:pPr>
            <w:r>
              <w:rPr>
                <w:color w:val="000000"/>
                <w:sz w:val="20"/>
                <w:szCs w:val="20"/>
              </w:rPr>
              <w:t>ГП 24</w:t>
            </w:r>
          </w:p>
          <w:p>
            <w:pPr>
              <w:pStyle w:val="Normal"/>
              <w:widowControl w:val="false"/>
              <w:jc w:val="center"/>
              <w:rPr>
                <w:color w:val="000000"/>
                <w:sz w:val="20"/>
                <w:szCs w:val="20"/>
              </w:rPr>
            </w:pPr>
            <w:r>
              <w:rPr>
                <w:color w:val="000000"/>
                <w:sz w:val="20"/>
                <w:szCs w:val="20"/>
              </w:rPr>
              <w:t>НП 3</w:t>
            </w:r>
          </w:p>
          <w:p>
            <w:pPr>
              <w:pStyle w:val="Normal"/>
              <w:widowControl w:val="false"/>
              <w:jc w:val="center"/>
              <w:rPr>
                <w:color w:val="000000"/>
                <w:sz w:val="20"/>
                <w:szCs w:val="20"/>
              </w:rPr>
            </w:pPr>
            <w:r>
              <w:rPr>
                <w:color w:val="000000"/>
                <w:sz w:val="20"/>
                <w:szCs w:val="20"/>
              </w:rPr>
              <w:t>ФП 20</w:t>
            </w:r>
          </w:p>
        </w:tc>
      </w:tr>
      <w:tr>
        <w:trPr>
          <w:trHeight w:val="272" w:hRule="atLeast"/>
        </w:trPr>
        <w:tc>
          <w:tcPr>
            <w:tcW w:w="2536" w:type="dxa"/>
            <w:tcBorders>
              <w:left w:val="single" w:sz="4" w:space="0" w:color="000000"/>
              <w:bottom w:val="single" w:sz="4" w:space="0" w:color="000000"/>
              <w:right w:val="single" w:sz="4" w:space="0" w:color="000000"/>
            </w:tcBorders>
          </w:tcPr>
          <w:p>
            <w:pPr>
              <w:pStyle w:val="Normal"/>
              <w:keepNext w:val="true"/>
              <w:widowControl w:val="false"/>
              <w:jc w:val="both"/>
              <w:rPr/>
            </w:pPr>
            <w:r>
              <w:rPr>
                <w:b/>
                <w:sz w:val="20"/>
                <w:szCs w:val="20"/>
              </w:rPr>
              <w:t xml:space="preserve">Мероприятие 1.1.4. </w:t>
            </w:r>
            <w:r>
              <w:rPr>
                <w:sz w:val="20"/>
                <w:szCs w:val="20"/>
              </w:rPr>
              <w:t>Развитие железнодорожной инфраструктуры Черноморского побережья Краснодарского края в целях повышения надежности и улучшения транспортного обслуживания курортной зоны Юга России</w:t>
            </w:r>
          </w:p>
          <w:p>
            <w:pPr>
              <w:pStyle w:val="Default1"/>
              <w:widowControl w:val="false"/>
              <w:suppressAutoHyphens w:val="true"/>
              <w:spacing w:before="0" w:after="0"/>
              <w:jc w:val="both"/>
              <w:rPr/>
            </w:pPr>
            <w:r>
              <w:rPr>
                <w:rFonts w:eastAsia="Tahoma" w:cs="Droid Sans Devanagari"/>
                <w:b/>
                <w:kern w:val="0"/>
                <w:sz w:val="20"/>
                <w:szCs w:val="20"/>
                <w:lang w:val="ru-RU" w:eastAsia="zh-CN" w:bidi="hi-IN"/>
              </w:rPr>
              <w:t>Ответственный исполнитель:</w:t>
            </w:r>
            <w:r>
              <w:rPr>
                <w:rFonts w:eastAsia="Tahoma" w:cs="Droid Sans Devanagari"/>
                <w:kern w:val="0"/>
                <w:sz w:val="20"/>
                <w:szCs w:val="20"/>
                <w:lang w:val="ru-RU" w:eastAsia="zh-CN" w:bidi="hi-IN"/>
              </w:rPr>
              <w:t xml:space="preserve"> </w:t>
              <w:br/>
              <w:t>А.А. Федорчук</w:t>
            </w:r>
          </w:p>
          <w:p>
            <w:pPr>
              <w:pStyle w:val="Normal"/>
              <w:widowControl w:val="false"/>
              <w:jc w:val="both"/>
              <w:rPr>
                <w:b/>
                <w:b/>
                <w:sz w:val="20"/>
                <w:szCs w:val="20"/>
              </w:rPr>
            </w:pPr>
            <w:r>
              <w:rPr>
                <w:b/>
                <w:sz w:val="20"/>
                <w:szCs w:val="20"/>
              </w:rPr>
              <w:t>Соисполнитель:</w:t>
            </w:r>
          </w:p>
          <w:p>
            <w:pPr>
              <w:pStyle w:val="Normal"/>
              <w:widowControl w:val="false"/>
              <w:jc w:val="left"/>
              <w:rPr>
                <w:sz w:val="20"/>
                <w:szCs w:val="20"/>
              </w:rPr>
            </w:pPr>
            <w:r>
              <w:rPr>
                <w:sz w:val="20"/>
                <w:szCs w:val="20"/>
              </w:rPr>
              <w:t>И.Ю. Коваль</w:t>
            </w:r>
          </w:p>
        </w:tc>
        <w:tc>
          <w:tcPr>
            <w:tcW w:w="2426" w:type="dxa"/>
            <w:gridSpan w:val="3"/>
            <w:tcBorders>
              <w:left w:val="single" w:sz="4" w:space="0" w:color="000000"/>
              <w:bottom w:val="single" w:sz="4" w:space="0" w:color="000000"/>
              <w:right w:val="single" w:sz="4" w:space="0" w:color="000000"/>
            </w:tcBorders>
          </w:tcPr>
          <w:p>
            <w:pPr>
              <w:pStyle w:val="Normal"/>
              <w:widowControl w:val="false"/>
              <w:jc w:val="both"/>
              <w:rPr/>
            </w:pPr>
            <w:r>
              <w:rPr>
                <w:rStyle w:val="85pt"/>
                <w:b w:val="false"/>
                <w:sz w:val="20"/>
                <w:szCs w:val="20"/>
              </w:rPr>
              <w:t>Обеспечено улучшение транспортного обслуживания курортной зоны юга России. Завершены электрификация 306 км к 2025 году железнодорожных путей на участке Ожерелье – Узловая – Елец, реконструкция линий Ожерелье – Елец и Воронеж (Придача) – Горячий Ключ, строительство новых железнодорожных линий Елец – Воронеж протяженностью 121 км к 2029 году и Кривенковская – Сочи протяженностью 95,9 км по итогам 2030 года.</w:t>
            </w:r>
          </w:p>
        </w:tc>
        <w:tc>
          <w:tcPr>
            <w:tcW w:w="1842" w:type="dxa"/>
            <w:tcBorders>
              <w:left w:val="single" w:sz="4" w:space="0" w:color="000000"/>
              <w:bottom w:val="single" w:sz="4" w:space="0" w:color="000000"/>
              <w:right w:val="single" w:sz="4" w:space="0" w:color="000000"/>
            </w:tcBorders>
          </w:tcPr>
          <w:p>
            <w:pPr>
              <w:pStyle w:val="23"/>
              <w:widowControl w:val="false"/>
              <w:suppressAutoHyphens w:val="true"/>
              <w:spacing w:lineRule="exact" w:line="232" w:before="0" w:after="0"/>
              <w:jc w:val="both"/>
              <w:rPr/>
            </w:pPr>
            <w:r>
              <w:rPr>
                <w:rStyle w:val="85pt"/>
                <w:rFonts w:eastAsia="Tahoma" w:cs="Droid Sans Devanagari"/>
                <w:b w:val="false"/>
                <w:color w:val="000000"/>
                <w:kern w:val="0"/>
                <w:sz w:val="20"/>
                <w:szCs w:val="20"/>
                <w:lang w:val="ru-RU" w:eastAsia="zh-CN" w:bidi="hi-IN"/>
              </w:rPr>
              <w:t>В соответствии с контрольными точками реализации ФП 20</w:t>
            </w:r>
          </w:p>
        </w:tc>
        <w:tc>
          <w:tcPr>
            <w:tcW w:w="1399" w:type="dxa"/>
            <w:tcBorders>
              <w:left w:val="single" w:sz="4" w:space="0" w:color="000000"/>
              <w:bottom w:val="single" w:sz="4" w:space="0" w:color="000000"/>
              <w:right w:val="single" w:sz="4" w:space="0" w:color="000000"/>
            </w:tcBorders>
          </w:tcPr>
          <w:p>
            <w:pPr>
              <w:pStyle w:val="23"/>
              <w:widowControl w:val="false"/>
              <w:suppressAutoHyphens w:val="true"/>
              <w:spacing w:lineRule="exact" w:line="232" w:before="0" w:after="0"/>
              <w:jc w:val="both"/>
              <w:rPr/>
            </w:pPr>
            <w:r>
              <w:rPr>
                <w:rStyle w:val="85pt"/>
                <w:rFonts w:eastAsia="Tahoma" w:cs="Droid Sans Devanagari"/>
                <w:b w:val="false"/>
                <w:color w:val="000000"/>
                <w:kern w:val="0"/>
                <w:sz w:val="20"/>
                <w:szCs w:val="20"/>
                <w:lang w:val="ru-RU" w:eastAsia="zh-CN" w:bidi="hi-IN"/>
              </w:rPr>
              <w:t>Проектный</w:t>
            </w:r>
          </w:p>
        </w:tc>
        <w:tc>
          <w:tcPr>
            <w:tcW w:w="922"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r>
          </w:p>
        </w:tc>
        <w:tc>
          <w:tcPr>
            <w:tcW w:w="932"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r>
          </w:p>
        </w:tc>
        <w:tc>
          <w:tcPr>
            <w:tcW w:w="951"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r>
          </w:p>
        </w:tc>
        <w:tc>
          <w:tcPr>
            <w:tcW w:w="925"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IV кв.</w:t>
            </w:r>
          </w:p>
        </w:tc>
        <w:tc>
          <w:tcPr>
            <w:tcW w:w="923"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IV кв.</w:t>
            </w:r>
          </w:p>
        </w:tc>
        <w:tc>
          <w:tcPr>
            <w:tcW w:w="919"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IV кв.</w:t>
            </w:r>
          </w:p>
        </w:tc>
        <w:tc>
          <w:tcPr>
            <w:tcW w:w="1311"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УП 1</w:t>
            </w:r>
          </w:p>
          <w:p>
            <w:pPr>
              <w:pStyle w:val="Normal"/>
              <w:widowControl w:val="false"/>
              <w:jc w:val="center"/>
              <w:rPr>
                <w:color w:val="000000"/>
                <w:sz w:val="20"/>
                <w:szCs w:val="20"/>
              </w:rPr>
            </w:pPr>
            <w:r>
              <w:rPr>
                <w:color w:val="000000"/>
                <w:sz w:val="20"/>
                <w:szCs w:val="20"/>
              </w:rPr>
              <w:t>УП 2</w:t>
            </w:r>
          </w:p>
          <w:p>
            <w:pPr>
              <w:pStyle w:val="Normal"/>
              <w:widowControl w:val="false"/>
              <w:jc w:val="center"/>
              <w:rPr>
                <w:color w:val="000000"/>
                <w:sz w:val="20"/>
                <w:szCs w:val="20"/>
              </w:rPr>
            </w:pPr>
            <w:r>
              <w:rPr>
                <w:color w:val="000000"/>
                <w:sz w:val="20"/>
                <w:szCs w:val="20"/>
              </w:rPr>
              <w:t>ОНДП</w:t>
            </w:r>
          </w:p>
          <w:p>
            <w:pPr>
              <w:pStyle w:val="Normal"/>
              <w:widowControl w:val="false"/>
              <w:jc w:val="center"/>
              <w:rPr>
                <w:color w:val="000000"/>
                <w:sz w:val="20"/>
                <w:szCs w:val="20"/>
              </w:rPr>
            </w:pPr>
            <w:r>
              <w:rPr>
                <w:color w:val="000000"/>
                <w:sz w:val="20"/>
                <w:szCs w:val="20"/>
              </w:rPr>
              <w:t>ГП 24</w:t>
            </w:r>
          </w:p>
          <w:p>
            <w:pPr>
              <w:pStyle w:val="Normal"/>
              <w:widowControl w:val="false"/>
              <w:jc w:val="center"/>
              <w:rPr>
                <w:color w:val="000000"/>
                <w:sz w:val="20"/>
                <w:szCs w:val="20"/>
              </w:rPr>
            </w:pPr>
            <w:r>
              <w:rPr>
                <w:color w:val="000000"/>
                <w:sz w:val="20"/>
                <w:szCs w:val="20"/>
              </w:rPr>
              <w:t>НП 1</w:t>
            </w:r>
          </w:p>
          <w:p>
            <w:pPr>
              <w:pStyle w:val="Normal"/>
              <w:widowControl w:val="false"/>
              <w:jc w:val="center"/>
              <w:rPr>
                <w:color w:val="000000"/>
                <w:sz w:val="20"/>
                <w:szCs w:val="20"/>
              </w:rPr>
            </w:pPr>
            <w:r>
              <w:rPr>
                <w:color w:val="000000"/>
                <w:sz w:val="20"/>
                <w:szCs w:val="20"/>
              </w:rPr>
              <w:t>НП 3</w:t>
            </w:r>
          </w:p>
          <w:p>
            <w:pPr>
              <w:pStyle w:val="Normal"/>
              <w:widowControl w:val="false"/>
              <w:jc w:val="center"/>
              <w:rPr>
                <w:color w:val="000000"/>
                <w:sz w:val="20"/>
                <w:szCs w:val="20"/>
              </w:rPr>
            </w:pPr>
            <w:r>
              <w:rPr>
                <w:color w:val="000000"/>
                <w:sz w:val="20"/>
                <w:szCs w:val="20"/>
              </w:rPr>
              <w:t>ФП 20</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7"/>
              </w:numPr>
              <w:suppressAutoHyphens w:val="true"/>
              <w:spacing w:lineRule="auto" w:line="240" w:before="0" w:after="0"/>
              <w:ind w:left="754" w:right="0" w:hanging="397"/>
              <w:jc w:val="both"/>
              <w:rPr>
                <w:b/>
                <w:b/>
                <w:color w:val="000000"/>
                <w:spacing w:val="0"/>
                <w:kern w:val="0"/>
                <w:sz w:val="20"/>
                <w:szCs w:val="20"/>
              </w:rPr>
            </w:pPr>
            <w:r>
              <w:rPr>
                <w:b/>
                <w:color w:val="000000"/>
                <w:spacing w:val="0"/>
                <w:kern w:val="0"/>
                <w:sz w:val="20"/>
                <w:szCs w:val="20"/>
              </w:rPr>
              <w:t>Индикатор направления (блока мероприятий) 1.1.</w:t>
            </w:r>
          </w:p>
          <w:p>
            <w:pPr>
              <w:pStyle w:val="Normal"/>
              <w:widowControl w:val="false"/>
              <w:suppressAutoHyphens w:val="true"/>
              <w:spacing w:lineRule="auto" w:line="240" w:before="0" w:after="0"/>
              <w:ind w:left="743" w:right="0" w:hanging="0"/>
              <w:jc w:val="both"/>
              <w:rPr/>
            </w:pPr>
            <w:r>
              <w:rPr>
                <w:color w:val="000000"/>
                <w:spacing w:val="0"/>
                <w:kern w:val="0"/>
                <w:sz w:val="20"/>
                <w:szCs w:val="20"/>
              </w:rPr>
              <w:t xml:space="preserve">Суммарная провозная способность участков </w:t>
            </w:r>
            <w:r>
              <w:rPr>
                <w:rFonts w:eastAsia="Tahoma" w:cs="Droid Sans Devanagari"/>
                <w:color w:val="000000"/>
                <w:spacing w:val="0"/>
                <w:kern w:val="0"/>
                <w:sz w:val="20"/>
                <w:szCs w:val="20"/>
                <w:lang w:val="ru-RU" w:eastAsia="zh-CN" w:bidi="hi-IN"/>
              </w:rPr>
              <w:t>на подходах</w:t>
            </w:r>
            <w:r>
              <w:rPr>
                <w:color w:val="000000"/>
                <w:spacing w:val="0"/>
                <w:kern w:val="0"/>
                <w:sz w:val="20"/>
                <w:szCs w:val="20"/>
              </w:rPr>
              <w:br/>
              <w:t>к морским портам Северо-Западного бассейна, млн. тонн</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144</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145,6</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145,6</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145,6</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145,6</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145,6</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8</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21</w:t>
            </w:r>
          </w:p>
        </w:tc>
      </w:tr>
      <w:tr>
        <w:trPr>
          <w:trHeight w:val="794"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1.1.5. </w:t>
            </w:r>
            <w:r>
              <w:rPr>
                <w:rFonts w:eastAsia="Tahoma" w:cs="Droid Sans Devanagari"/>
                <w:b/>
                <w:color w:val="000000"/>
                <w:spacing w:val="0"/>
                <w:kern w:val="0"/>
                <w:sz w:val="20"/>
                <w:szCs w:val="20"/>
                <w:lang w:val="ru-RU" w:eastAsia="zh-CN" w:bidi="hi-IN"/>
              </w:rPr>
              <w:t>Увеличение провозной способности</w:t>
            </w:r>
            <w:r>
              <w:rPr>
                <w:color w:val="000000"/>
                <w:spacing w:val="0"/>
                <w:kern w:val="0"/>
                <w:sz w:val="20"/>
                <w:szCs w:val="20"/>
              </w:rPr>
              <w:t xml:space="preserve"> железнодорожной инфраструктуры  Северо-Западного </w:t>
            </w:r>
            <w:r>
              <w:rPr>
                <w:rFonts w:eastAsia="Tahoma" w:cs="Droid Sans Devanagari"/>
                <w:color w:val="000000"/>
                <w:spacing w:val="0"/>
                <w:kern w:val="0"/>
                <w:sz w:val="20"/>
                <w:szCs w:val="20"/>
                <w:lang w:val="ru-RU" w:eastAsia="zh-CN" w:bidi="hi-IN"/>
              </w:rPr>
              <w:t>полигона</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Default1"/>
              <w:widowControl w:val="false"/>
              <w:suppressAutoHyphens w:val="true"/>
              <w:spacing w:lineRule="auto" w:line="240" w:before="0" w:after="0"/>
              <w:ind w:left="0" w:right="0" w:hanging="0"/>
              <w:jc w:val="both"/>
              <w:rPr>
                <w:rFonts w:eastAsia="Tahoma" w:cs="Droid Sans Devanagari"/>
                <w:b w:val="false"/>
                <w:b w:val="false"/>
                <w:bCs w:val="false"/>
                <w:color w:val="000000"/>
                <w:spacing w:val="0"/>
                <w:kern w:val="0"/>
                <w:sz w:val="20"/>
                <w:szCs w:val="20"/>
                <w:lang w:val="ru-RU" w:eastAsia="zh-CN" w:bidi="hi-IN"/>
              </w:rPr>
            </w:pPr>
            <w:r>
              <w:rPr>
                <w:rFonts w:eastAsia="Tahoma" w:cs="Droid Sans Devanagari"/>
                <w:b w:val="false"/>
                <w:bCs w:val="false"/>
                <w:color w:val="000000"/>
                <w:spacing w:val="0"/>
                <w:kern w:val="0"/>
                <w:sz w:val="20"/>
                <w:szCs w:val="20"/>
                <w:lang w:val="ru-RU" w:eastAsia="zh-CN" w:bidi="hi-IN"/>
              </w:rPr>
              <w:t>И.Ю. Коваль</w:t>
            </w:r>
          </w:p>
          <w:p>
            <w:pPr>
              <w:pStyle w:val="Default1"/>
              <w:widowControl w:val="false"/>
              <w:suppressAutoHyphens w:val="true"/>
              <w:spacing w:lineRule="auto" w:line="240" w:before="0" w:after="0"/>
              <w:ind w:left="0" w:right="0" w:hanging="0"/>
              <w:jc w:val="both"/>
              <w:rPr>
                <w:rFonts w:eastAsia="Tahoma" w:cs="Droid Sans Devanagari"/>
                <w:b w:val="false"/>
                <w:b w:val="false"/>
                <w:bCs w:val="false"/>
                <w:color w:val="000000"/>
                <w:spacing w:val="0"/>
                <w:kern w:val="0"/>
                <w:sz w:val="20"/>
                <w:szCs w:val="20"/>
                <w:lang w:val="ru-RU" w:eastAsia="zh-CN" w:bidi="hi-IN"/>
              </w:rPr>
            </w:pPr>
            <w:r>
              <w:rPr>
                <w:rFonts w:eastAsia="Tahoma" w:cs="Droid Sans Devanagari"/>
                <w:b w:val="false"/>
                <w:bCs w:val="false"/>
                <w:color w:val="000000"/>
                <w:spacing w:val="0"/>
                <w:kern w:val="0"/>
                <w:sz w:val="20"/>
                <w:szCs w:val="20"/>
                <w:lang w:val="ru-RU" w:eastAsia="zh-CN" w:bidi="hi-IN"/>
              </w:rPr>
              <w:t>В.А. Соколов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sz w:val="20"/>
              </w:rPr>
            </w:pPr>
            <w:r>
              <w:rPr>
                <w:rFonts w:eastAsia="Tahoma" w:cs="Droid Sans Devanagari"/>
                <w:color w:val="000000"/>
                <w:spacing w:val="0"/>
                <w:kern w:val="0"/>
                <w:sz w:val="20"/>
                <w:szCs w:val="20"/>
                <w:lang w:val="ru-RU" w:eastAsia="zh-CN" w:bidi="hi-IN"/>
              </w:rPr>
              <w:t>Развитие железнодорожной инфраструктуры в рамках проекта по итогам его реализации  позволит обеспечить рост провозной способности полигона со 138 млн. тонн по итогам 2017 года до 145,6 млн. тонн по итогам 2020 года и до 220 млн. тонн к концу 2030 года</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В соответствии с контрольными точками реализации ФП 8 и ФП 21</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8</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21</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1.2. Развитие инфраструктуры внутреннего водного транспорта</w:t>
            </w:r>
          </w:p>
        </w:tc>
      </w:tr>
      <w:tr>
        <w:trPr>
          <w:trHeight w:val="676"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4"/>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1.2.</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Ежегодный прирост пропускной способности внутренних водных путей, млн. тонн</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w:t>
            </w:r>
            <w:r>
              <w:rPr>
                <w:rFonts w:eastAsia="Tahoma" w:cs="Droid Sans Devanagari"/>
                <w:color w:val="000000"/>
                <w:spacing w:val="0"/>
                <w:kern w:val="0"/>
                <w:sz w:val="20"/>
                <w:szCs w:val="20"/>
                <w:vertAlign w:val="superscript"/>
                <w:lang w:val="ru-RU" w:eastAsia="zh-CN" w:bidi="hi-IN"/>
              </w:rPr>
              <w:t>14</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color w:val="000000"/>
                <w:spacing w:val="0"/>
                <w:kern w:val="0"/>
                <w:sz w:val="20"/>
                <w:szCs w:val="20"/>
              </w:rPr>
              <w:t>5,3</w:t>
            </w:r>
            <w:r>
              <w:rPr>
                <w:rStyle w:val="Style10"/>
                <w:color w:val="000000"/>
                <w:spacing w:val="0"/>
                <w:kern w:val="0"/>
                <w:sz w:val="20"/>
                <w:szCs w:val="20"/>
              </w:rPr>
              <w:footnoteReference w:id="15"/>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1,47</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1,7</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37,8</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КПМ 2</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4"/>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1.2.</w:t>
            </w:r>
          </w:p>
          <w:p>
            <w:pPr>
              <w:pStyle w:val="Normal"/>
              <w:widowControl w:val="false"/>
              <w:suppressAutoHyphens w:val="true"/>
              <w:spacing w:lineRule="auto" w:line="240" w:before="0" w:after="0"/>
              <w:ind w:left="720" w:right="0" w:hanging="0"/>
              <w:jc w:val="both"/>
              <w:rPr/>
            </w:pPr>
            <w:r>
              <w:rPr>
                <w:b w:val="false"/>
                <w:color w:val="auto"/>
                <w:spacing w:val="0"/>
                <w:kern w:val="0"/>
                <w:sz w:val="20"/>
                <w:szCs w:val="20"/>
              </w:rPr>
              <w:t>Доля судоходных гидротехнических сооружений, подлежащих декларированию безопасности, имеющих опасный и неудовлетворительный уровень безопасности,</w:t>
            </w:r>
            <w:r>
              <w:rPr>
                <w:b w:val="false"/>
                <w:spacing w:val="0"/>
                <w:kern w:val="0"/>
                <w:sz w:val="20"/>
                <w:szCs w:val="20"/>
              </w:rPr>
              <w:t xml:space="preserve">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8,8</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8,8</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8,8</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8,2</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7,3</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5,7</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9 ФАИП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КПМ 2</w:t>
            </w:r>
          </w:p>
        </w:tc>
      </w:tr>
      <w:tr>
        <w:trPr>
          <w:trHeight w:val="64"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1.2.1. </w:t>
            </w:r>
            <w:r>
              <w:rPr>
                <w:color w:val="000000"/>
                <w:spacing w:val="0"/>
                <w:kern w:val="0"/>
                <w:sz w:val="20"/>
                <w:szCs w:val="20"/>
              </w:rPr>
              <w:t xml:space="preserve">Реализация инвестиционных проектов по строительству и реконструкции судоходных гидротехнических сооружений </w:t>
              <w:br/>
              <w:t>и внутренних водных путей Единой глубоководной системы европейской части России, Сибири и Дальнего Востока</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 xml:space="preserve">Реализованы запланированные мероприятия </w:t>
            </w:r>
            <w:r>
              <w:rPr>
                <w:color w:val="000000"/>
                <w:spacing w:val="0"/>
                <w:kern w:val="0"/>
                <w:sz w:val="20"/>
                <w:szCs w:val="20"/>
              </w:rPr>
              <w:t xml:space="preserve">по строительству и реконструкции судоходных гидротехнических сооружений </w:t>
              <w:br/>
              <w:t>и внутренних водных путей Единой глубоководной системы европейской части России, Сибири и Дальнего Востока</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26"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В соответствии с контрольными точками реализации ФП 9</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ФАИП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КПМ 2</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1.3. Развитие сети автомобильных дорог федерального значения</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5"/>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1.3.</w:t>
            </w:r>
          </w:p>
          <w:p>
            <w:pPr>
              <w:pStyle w:val="Normal"/>
              <w:widowControl w:val="false"/>
              <w:suppressAutoHyphens w:val="true"/>
              <w:spacing w:lineRule="auto" w:line="240" w:before="0" w:after="0"/>
              <w:ind w:left="720" w:right="0" w:hanging="0"/>
              <w:jc w:val="both"/>
              <w:rPr/>
            </w:pPr>
            <w:r>
              <w:rPr>
                <w:color w:val="auto"/>
                <w:spacing w:val="0"/>
                <w:kern w:val="0"/>
                <w:sz w:val="20"/>
                <w:szCs w:val="20"/>
              </w:rPr>
              <w:t>Строительство и реконструкция автомобильных дорог федерального значения</w:t>
            </w:r>
            <w:r>
              <w:rPr>
                <w:color w:val="000000"/>
                <w:spacing w:val="0"/>
                <w:kern w:val="0"/>
                <w:sz w:val="20"/>
                <w:szCs w:val="20"/>
              </w:rPr>
              <w:t>, км</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color w:val="000000"/>
                <w:spacing w:val="0"/>
                <w:kern w:val="0"/>
                <w:sz w:val="20"/>
                <w:szCs w:val="20"/>
              </w:rPr>
              <w:t>567,0</w:t>
            </w:r>
            <w:r>
              <w:rPr>
                <w:rStyle w:val="Style10"/>
                <w:color w:val="000000"/>
                <w:spacing w:val="0"/>
                <w:kern w:val="0"/>
                <w:sz w:val="20"/>
                <w:szCs w:val="20"/>
              </w:rPr>
              <w:footnoteReference w:id="16"/>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542,9</w:t>
            </w:r>
            <w:r>
              <w:rPr>
                <w:color w:val="000000"/>
                <w:spacing w:val="0"/>
                <w:kern w:val="0"/>
                <w:sz w:val="20"/>
                <w:szCs w:val="20"/>
                <w:vertAlign w:val="superscript"/>
              </w:rPr>
              <w:t>15</w:t>
            </w:r>
          </w:p>
          <w:p>
            <w:pPr>
              <w:pStyle w:val="Normal"/>
              <w:widowControl w:val="false"/>
              <w:suppressAutoHyphens w:val="true"/>
              <w:spacing w:lineRule="auto" w:line="240" w:before="0" w:after="0"/>
              <w:ind w:left="0" w:right="0" w:hanging="0"/>
              <w:jc w:val="center"/>
              <w:rPr>
                <w:color w:val="000000"/>
                <w:spacing w:val="0"/>
                <w:kern w:val="0"/>
                <w:position w:val="0"/>
                <w:sz w:val="20"/>
                <w:sz w:val="20"/>
                <w:szCs w:val="20"/>
                <w:vertAlign w:val="baseline"/>
              </w:rPr>
            </w:pPr>
            <w:r>
              <w:rPr>
                <w:color w:val="000000"/>
                <w:spacing w:val="0"/>
                <w:kern w:val="0"/>
                <w:position w:val="0"/>
                <w:sz w:val="20"/>
                <w:sz w:val="20"/>
                <w:szCs w:val="20"/>
                <w:vertAlign w:val="baseline"/>
              </w:rPr>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244,9</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241,3</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323,3</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1756,3</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jc w:val="center"/>
              <w:rPr>
                <w:sz w:val="20"/>
                <w:szCs w:val="20"/>
              </w:rPr>
            </w:pPr>
            <w:r>
              <w:rPr>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НП 3</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НП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6</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14</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КПМ 1</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1.3.1. </w:t>
            </w:r>
            <w:r>
              <w:rPr>
                <w:color w:val="000000"/>
                <w:spacing w:val="0"/>
                <w:kern w:val="0"/>
                <w:sz w:val="20"/>
                <w:szCs w:val="20"/>
              </w:rPr>
              <w:t>Реализация инвестиционных проектов по строительству и реконструкции участков автомобильных дорог федерального значения</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А.В. Шилов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В.П. Петушенко</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Р.В. Новиков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Реализованы запланированные мероприятия по</w:t>
            </w:r>
            <w:r>
              <w:rPr>
                <w:color w:val="000000"/>
                <w:spacing w:val="0"/>
                <w:kern w:val="0"/>
                <w:sz w:val="20"/>
                <w:szCs w:val="20"/>
              </w:rPr>
              <w:t xml:space="preserve"> строительству и реконструкции участков автомобильных дорог федерального значения</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26" w:before="0" w:after="0"/>
              <w:ind w:left="0" w:right="0" w:hanging="0"/>
              <w:jc w:val="left"/>
              <w:rPr/>
            </w:pPr>
            <w:r>
              <w:rPr>
                <w:rFonts w:eastAsia="Tahoma" w:cs="Droid Sans Devanagari"/>
                <w:b w:val="false"/>
                <w:color w:val="000000"/>
                <w:spacing w:val="0"/>
                <w:kern w:val="0"/>
                <w:sz w:val="20"/>
                <w:szCs w:val="20"/>
                <w:lang w:val="ru-RU" w:eastAsia="zh-CN" w:bidi="hi-IN"/>
              </w:rPr>
              <w:t xml:space="preserve">В соответствии с контрольными точками реализации </w:t>
              <w:br/>
              <w:t xml:space="preserve">ФП 1, ФП 2, ФП 6, </w:t>
            </w:r>
            <w:r>
              <w:rPr>
                <w:rFonts w:eastAsia="Tahoma" w:cs="Droid Sans Devanagari"/>
                <w:b w:val="false"/>
                <w:strike w:val="false"/>
                <w:dstrike w:val="false"/>
                <w:color w:val="000000"/>
                <w:spacing w:val="0"/>
                <w:kern w:val="0"/>
                <w:sz w:val="20"/>
                <w:szCs w:val="20"/>
                <w:shd w:fill="auto" w:val="clear"/>
                <w:lang w:val="ru-RU" w:eastAsia="zh-CN" w:bidi="hi-IN"/>
              </w:rPr>
              <w:t>ФП 14 и ФП 25</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НП 3</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НП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6</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14</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КПМ 1</w:t>
            </w:r>
          </w:p>
        </w:tc>
      </w:tr>
      <w:tr>
        <w:trPr>
          <w:trHeight w:val="415"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1.4. Организация развития скоростных автомобильных дорог на условиях государственно-частного партнерства</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6"/>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1.4.</w:t>
            </w:r>
          </w:p>
          <w:p>
            <w:pPr>
              <w:pStyle w:val="Normal"/>
              <w:widowControl w:val="false"/>
              <w:suppressAutoHyphens w:val="true"/>
              <w:spacing w:lineRule="auto" w:line="240" w:before="0" w:after="0"/>
              <w:ind w:left="720" w:right="0" w:hanging="0"/>
              <w:jc w:val="both"/>
              <w:rPr/>
            </w:pPr>
            <w:r>
              <w:rPr>
                <w:color w:val="auto"/>
                <w:spacing w:val="0"/>
                <w:kern w:val="0"/>
                <w:sz w:val="20"/>
                <w:szCs w:val="20"/>
              </w:rPr>
              <w:t xml:space="preserve">Строительство и реконструкция автомобильных дорог федерального значения </w:t>
              <w:br/>
              <w:t>на условиях государственно-частного партнерства,</w:t>
            </w:r>
            <w:r>
              <w:rPr>
                <w:color w:val="000000"/>
                <w:spacing w:val="0"/>
                <w:kern w:val="0"/>
                <w:sz w:val="20"/>
                <w:szCs w:val="20"/>
              </w:rPr>
              <w:t xml:space="preserve"> км</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188,5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276,3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49,5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51,2</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35,5</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НП 2</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6</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25</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29</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1.4.1. </w:t>
            </w:r>
            <w:r>
              <w:rPr>
                <w:color w:val="000000"/>
                <w:spacing w:val="0"/>
                <w:kern w:val="0"/>
                <w:sz w:val="20"/>
                <w:szCs w:val="20"/>
              </w:rPr>
              <w:t>Реализация инвестиционных проектов по строительству и реконструкции скоростных автомобильных дорог федерального значения на условиях государственно-частного партнерства, находящихся в доверительном управлении Государственной компании «Автодор»</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А.В. Шилов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В.П. Петушенко</w:t>
            </w:r>
          </w:p>
          <w:p>
            <w:pPr>
              <w:pStyle w:val="Normal"/>
              <w:widowControl w:val="false"/>
              <w:suppressAutoHyphens w:val="true"/>
              <w:spacing w:lineRule="auto" w:line="240" w:before="0" w:after="0"/>
              <w:ind w:left="0" w:right="0" w:hanging="0"/>
              <w:jc w:val="left"/>
              <w:rPr>
                <w:b/>
                <w:b/>
                <w:color w:val="000000"/>
                <w:sz w:val="20"/>
              </w:rPr>
            </w:pPr>
            <w:r>
              <w:rPr>
                <w:b/>
                <w:color w:val="000000"/>
                <w:sz w:val="20"/>
              </w:rPr>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 xml:space="preserve">Реализованы запланированные мероприятия </w:t>
            </w:r>
            <w:r>
              <w:rPr>
                <w:color w:val="000000"/>
                <w:spacing w:val="0"/>
                <w:kern w:val="0"/>
                <w:sz w:val="20"/>
                <w:szCs w:val="20"/>
              </w:rPr>
              <w:t>по строительству и реконструкции скоростных автомобильных дорог федерального значения на условиях государственно-частного партнерства, находящихся в доверительном управлении Государственной компании «Автодор»</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26" w:before="0" w:after="0"/>
              <w:ind w:left="0" w:right="0" w:hanging="0"/>
              <w:jc w:val="left"/>
              <w:rPr/>
            </w:pPr>
            <w:r>
              <w:rPr>
                <w:rFonts w:eastAsia="Tahoma" w:cs="Droid Sans Devanagari"/>
                <w:b w:val="false"/>
                <w:color w:val="000000"/>
                <w:spacing w:val="0"/>
                <w:kern w:val="0"/>
                <w:sz w:val="20"/>
                <w:szCs w:val="20"/>
                <w:lang w:val="ru-RU" w:eastAsia="zh-CN" w:bidi="hi-IN"/>
              </w:rPr>
              <w:t xml:space="preserve">В соответствии с контрольными точками реализации ФП 1, ФП 6 </w:t>
            </w:r>
            <w:r>
              <w:rPr>
                <w:rFonts w:eastAsia="Tahoma" w:cs="Droid Sans Devanagari"/>
                <w:b w:val="false"/>
                <w:strike w:val="false"/>
                <w:dstrike w:val="false"/>
                <w:color w:val="000000"/>
                <w:spacing w:val="0"/>
                <w:kern w:val="0"/>
                <w:sz w:val="20"/>
                <w:szCs w:val="20"/>
                <w:shd w:fill="auto" w:val="clear"/>
                <w:lang w:val="ru-RU" w:eastAsia="zh-CN" w:bidi="hi-IN"/>
              </w:rPr>
              <w:t>и ФП 25</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НП 2</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6</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25</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29</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strike w:val="false"/>
                <w:dstrike w:val="false"/>
                <w:color w:val="000000"/>
                <w:spacing w:val="0"/>
                <w:kern w:val="0"/>
                <w:sz w:val="20"/>
                <w:szCs w:val="20"/>
                <w:shd w:fill="auto" w:val="clear"/>
              </w:rPr>
            </w:pPr>
            <w:r>
              <w:rPr>
                <w:b/>
                <w:strike w:val="false"/>
                <w:dstrike w:val="false"/>
                <w:color w:val="000000"/>
                <w:spacing w:val="0"/>
                <w:kern w:val="0"/>
                <w:sz w:val="20"/>
                <w:szCs w:val="20"/>
                <w:shd w:fill="auto" w:val="clear"/>
              </w:rPr>
              <w:t>Направление (блок мероприятий) 1.5. Обеспечение функционирования сети автомобильных дорог федерального значения</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7"/>
              </w:numPr>
              <w:suppressAutoHyphens w:val="true"/>
              <w:spacing w:lineRule="auto" w:line="240" w:before="0" w:after="0"/>
              <w:ind w:left="0" w:right="0" w:hanging="0"/>
              <w:jc w:val="left"/>
              <w:rPr>
                <w:b/>
                <w:b/>
                <w:strike w:val="false"/>
                <w:dstrike w:val="false"/>
                <w:color w:val="000000"/>
                <w:spacing w:val="0"/>
                <w:kern w:val="0"/>
                <w:sz w:val="20"/>
                <w:szCs w:val="20"/>
                <w:shd w:fill="auto" w:val="clear"/>
              </w:rPr>
            </w:pPr>
            <w:r>
              <w:rPr>
                <w:b/>
                <w:strike w:val="false"/>
                <w:dstrike w:val="false"/>
                <w:color w:val="000000"/>
                <w:spacing w:val="0"/>
                <w:kern w:val="0"/>
                <w:sz w:val="20"/>
                <w:szCs w:val="20"/>
                <w:shd w:fill="auto" w:val="clear"/>
              </w:rPr>
              <w:t>Индикатор направления (блока мероприятий) 1.5.</w:t>
            </w:r>
          </w:p>
          <w:p>
            <w:pPr>
              <w:pStyle w:val="Normal"/>
              <w:widowControl w:val="false"/>
              <w:suppressAutoHyphens w:val="true"/>
              <w:spacing w:lineRule="auto" w:line="240" w:before="0" w:after="0"/>
              <w:ind w:left="720" w:right="0" w:hanging="0"/>
              <w:jc w:val="both"/>
              <w:rPr/>
            </w:pPr>
            <w:r>
              <w:rPr>
                <w:b w:val="false"/>
                <w:bCs w:val="false"/>
                <w:strike w:val="false"/>
                <w:dstrike w:val="false"/>
                <w:color w:val="000000"/>
                <w:spacing w:val="0"/>
                <w:kern w:val="0"/>
                <w:sz w:val="20"/>
                <w:szCs w:val="20"/>
                <w:shd w:fill="auto" w:val="clear"/>
              </w:rPr>
              <w:t>Протяженность автомобильных дорог общего пользования федерального значения, соответствующих нормативным требованиям к транспортно-эксплуатационным показателям</w:t>
            </w:r>
            <w:r>
              <w:rPr>
                <w:strike w:val="false"/>
                <w:dstrike w:val="false"/>
                <w:spacing w:val="0"/>
                <w:kern w:val="0"/>
                <w:sz w:val="20"/>
                <w:szCs w:val="20"/>
                <w:shd w:fill="auto" w:val="clear"/>
              </w:rPr>
              <w:t>, км</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45109,5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49816,6</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strike w:val="false"/>
                <w:dstrike w:val="false"/>
                <w:color w:val="000000"/>
                <w:spacing w:val="0"/>
                <w:kern w:val="0"/>
                <w:sz w:val="20"/>
                <w:szCs w:val="20"/>
                <w:shd w:fill="auto" w:val="clear"/>
                <w:lang w:val="ru-RU" w:eastAsia="zh-CN" w:bidi="hi-IN"/>
              </w:rPr>
            </w:pPr>
            <w:r>
              <w:rPr>
                <w:rFonts w:eastAsia="Tahoma" w:cs="Droid Sans Devanagari"/>
                <w:strike w:val="false"/>
                <w:dstrike w:val="false"/>
                <w:color w:val="000000"/>
                <w:spacing w:val="0"/>
                <w:kern w:val="0"/>
                <w:sz w:val="20"/>
                <w:szCs w:val="20"/>
                <w:shd w:fill="auto" w:val="clear"/>
                <w:lang w:val="ru-RU" w:eastAsia="zh-CN" w:bidi="hi-IN"/>
              </w:rPr>
              <w:t>51238,0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pPr>
            <w:r>
              <w:rPr>
                <w:strike w:val="false"/>
                <w:dstrike w:val="false"/>
                <w:color w:val="000000"/>
                <w:spacing w:val="0"/>
                <w:kern w:val="0"/>
                <w:sz w:val="20"/>
                <w:szCs w:val="20"/>
                <w:shd w:fill="auto" w:val="clear"/>
              </w:rPr>
              <w:t xml:space="preserve"> </w:t>
            </w:r>
            <w:r>
              <w:rPr>
                <w:rFonts w:eastAsia="Tahoma" w:cs="Droid Sans Devanagari"/>
                <w:strike w:val="false"/>
                <w:dstrike w:val="false"/>
                <w:color w:val="000000"/>
                <w:spacing w:val="0"/>
                <w:kern w:val="0"/>
                <w:sz w:val="20"/>
                <w:szCs w:val="20"/>
                <w:shd w:fill="auto" w:val="clear"/>
                <w:lang w:val="ru-RU" w:eastAsia="zh-CN" w:bidi="hi-IN"/>
              </w:rPr>
              <w:t>50886,0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50795,0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52150,8</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ВЦП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ВЦП 3</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28</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КПМ 1</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strike w:val="false"/>
                <w:dstrike w:val="false"/>
                <w:color w:val="000000"/>
                <w:spacing w:val="0"/>
                <w:kern w:val="0"/>
                <w:sz w:val="20"/>
                <w:szCs w:val="20"/>
                <w:shd w:fill="auto" w:val="clear"/>
              </w:rPr>
              <w:t>Мероприятие 1.5.1.</w:t>
            </w:r>
            <w:r>
              <w:rPr>
                <w:strike w:val="false"/>
                <w:dstrike w:val="false"/>
                <w:color w:val="000000"/>
                <w:spacing w:val="0"/>
                <w:kern w:val="0"/>
                <w:sz w:val="20"/>
                <w:szCs w:val="20"/>
                <w:shd w:fill="auto" w:val="clear"/>
              </w:rPr>
              <w:t xml:space="preserve"> Проведение капитального ремонта, ремонта и содержания автомобильных дорог общего пользования федерального значения, находящихся в оперативном управлении федеральных казенных учреждений, подведомственных Федеральному дорожному агентству</w:t>
            </w:r>
          </w:p>
          <w:p>
            <w:pPr>
              <w:pStyle w:val="Normal"/>
              <w:widowControl w:val="false"/>
              <w:suppressAutoHyphens w:val="true"/>
              <w:spacing w:lineRule="auto" w:line="240" w:before="0" w:after="0"/>
              <w:ind w:left="0" w:right="0" w:hanging="0"/>
              <w:jc w:val="both"/>
              <w:rPr/>
            </w:pPr>
            <w:r>
              <w:rPr>
                <w:b/>
                <w:strike w:val="false"/>
                <w:dstrike w:val="false"/>
                <w:color w:val="000000"/>
                <w:spacing w:val="0"/>
                <w:kern w:val="0"/>
                <w:sz w:val="20"/>
                <w:szCs w:val="20"/>
                <w:shd w:fill="auto" w:val="clear"/>
              </w:rPr>
              <w:t>Ответственный исполнитель:</w:t>
            </w:r>
            <w:r>
              <w:rPr>
                <w:strike w:val="false"/>
                <w:dstrike w:val="false"/>
                <w:color w:val="000000"/>
                <w:spacing w:val="0"/>
                <w:kern w:val="0"/>
                <w:sz w:val="20"/>
                <w:szCs w:val="20"/>
                <w:shd w:fill="auto" w:val="clear"/>
              </w:rPr>
              <w:t xml:space="preserve"> </w:t>
              <w:br/>
              <w:t>А.В. Шилов</w:t>
            </w:r>
          </w:p>
          <w:p>
            <w:pPr>
              <w:pStyle w:val="Normal"/>
              <w:widowControl w:val="false"/>
              <w:suppressAutoHyphens w:val="true"/>
              <w:spacing w:lineRule="auto" w:line="240" w:before="0" w:after="0"/>
              <w:ind w:left="0" w:right="0" w:hanging="0"/>
              <w:jc w:val="both"/>
              <w:rPr>
                <w:b/>
                <w:b/>
                <w:strike w:val="false"/>
                <w:dstrike w:val="false"/>
                <w:color w:val="000000"/>
                <w:spacing w:val="0"/>
                <w:kern w:val="0"/>
                <w:sz w:val="20"/>
                <w:szCs w:val="20"/>
                <w:shd w:fill="auto" w:val="clear"/>
              </w:rPr>
            </w:pPr>
            <w:r>
              <w:rPr>
                <w:b/>
                <w:strike w:val="false"/>
                <w:dstrike w:val="false"/>
                <w:color w:val="000000"/>
                <w:spacing w:val="0"/>
                <w:kern w:val="0"/>
                <w:sz w:val="20"/>
                <w:szCs w:val="20"/>
                <w:shd w:fill="auto" w:val="clear"/>
              </w:rPr>
              <w:t>Соисполнитель:</w:t>
            </w:r>
          </w:p>
          <w:p>
            <w:pPr>
              <w:pStyle w:val="Normal"/>
              <w:widowControl w:val="false"/>
              <w:suppressAutoHyphens w:val="true"/>
              <w:spacing w:lineRule="auto" w:line="240" w:before="0" w:after="0"/>
              <w:ind w:left="0" w:right="0" w:hanging="0"/>
              <w:jc w:val="left"/>
              <w:rPr>
                <w:strike w:val="false"/>
                <w:dstrike w:val="false"/>
                <w:spacing w:val="0"/>
                <w:kern w:val="0"/>
                <w:sz w:val="20"/>
                <w:szCs w:val="20"/>
                <w:shd w:fill="auto" w:val="clear"/>
              </w:rPr>
            </w:pPr>
            <w:r>
              <w:rPr>
                <w:strike w:val="false"/>
                <w:dstrike w:val="false"/>
                <w:spacing w:val="0"/>
                <w:kern w:val="0"/>
                <w:sz w:val="20"/>
                <w:szCs w:val="20"/>
                <w:shd w:fill="auto" w:val="clear"/>
              </w:rPr>
              <w:t>Р.В. Новиков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trike w:val="false"/>
                <w:dstrike w:val="false"/>
                <w:sz w:val="20"/>
                <w:shd w:fill="auto" w:val="clear"/>
              </w:rPr>
            </w:pPr>
            <w:r>
              <w:rPr>
                <w:b w:val="false"/>
                <w:strike w:val="false"/>
                <w:dstrike w:val="false"/>
                <w:color w:val="000000"/>
                <w:spacing w:val="0"/>
                <w:kern w:val="0"/>
                <w:sz w:val="20"/>
                <w:szCs w:val="20"/>
                <w:shd w:fill="auto" w:val="clear"/>
              </w:rPr>
              <w:t>Реализованы утвержденные в установленном порядке программы капитального ремонта, ремонта и содержания автомобильных дорог общего пользования федерального значения, находящихся в оперативном управлении федеральных казенных учреждений, подведомственных Федеральному дорожному агентству</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26" w:before="0" w:after="0"/>
              <w:ind w:left="0" w:right="0" w:hanging="0"/>
              <w:jc w:val="left"/>
              <w:rPr>
                <w:rFonts w:eastAsia="Tahoma" w:cs="Droid Sans Devanagari"/>
                <w:b w:val="false"/>
                <w:b w:val="false"/>
                <w:strike w:val="false"/>
                <w:dstrike w:val="false"/>
                <w:color w:val="000000"/>
                <w:spacing w:val="0"/>
                <w:kern w:val="0"/>
                <w:sz w:val="20"/>
                <w:szCs w:val="20"/>
                <w:shd w:fill="auto" w:val="clear"/>
                <w:lang w:val="ru-RU" w:eastAsia="zh-CN" w:bidi="hi-IN"/>
              </w:rPr>
            </w:pPr>
            <w:r>
              <w:rPr>
                <w:rFonts w:eastAsia="Tahoma" w:cs="Droid Sans Devanagari"/>
                <w:b w:val="false"/>
                <w:strike w:val="false"/>
                <w:dstrike w:val="false"/>
                <w:color w:val="000000"/>
                <w:spacing w:val="0"/>
                <w:kern w:val="0"/>
                <w:sz w:val="20"/>
                <w:szCs w:val="20"/>
                <w:shd w:fill="auto" w:val="clear"/>
                <w:lang w:val="ru-RU" w:eastAsia="zh-CN" w:bidi="hi-IN"/>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ВЦП 1</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КПМ 1</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strike w:val="false"/>
                <w:dstrike w:val="false"/>
                <w:color w:val="000000"/>
                <w:spacing w:val="0"/>
                <w:kern w:val="0"/>
                <w:sz w:val="20"/>
                <w:szCs w:val="20"/>
                <w:shd w:fill="auto" w:val="clear"/>
              </w:rPr>
              <w:t>Мероприятие 1.5.2.</w:t>
            </w:r>
            <w:r>
              <w:rPr>
                <w:strike w:val="false"/>
                <w:dstrike w:val="false"/>
                <w:color w:val="000000"/>
                <w:spacing w:val="0"/>
                <w:kern w:val="0"/>
                <w:sz w:val="20"/>
                <w:szCs w:val="20"/>
                <w:shd w:fill="auto" w:val="clear"/>
              </w:rPr>
              <w:t xml:space="preserve"> Проведение капитального ремонта, ремонта и содержания автомобильных дорог общего пользования федерального значения, переданных в доверительное управление Государственной компании «Автодор»</w:t>
            </w:r>
          </w:p>
          <w:p>
            <w:pPr>
              <w:pStyle w:val="Normal"/>
              <w:widowControl w:val="false"/>
              <w:suppressAutoHyphens w:val="true"/>
              <w:spacing w:lineRule="auto" w:line="240" w:before="0" w:after="0"/>
              <w:ind w:left="0" w:right="0" w:hanging="0"/>
              <w:jc w:val="both"/>
              <w:rPr/>
            </w:pPr>
            <w:r>
              <w:rPr>
                <w:b/>
                <w:strike w:val="false"/>
                <w:dstrike w:val="false"/>
                <w:color w:val="000000"/>
                <w:spacing w:val="0"/>
                <w:kern w:val="0"/>
                <w:sz w:val="20"/>
                <w:szCs w:val="20"/>
                <w:shd w:fill="auto" w:val="clear"/>
              </w:rPr>
              <w:t>Ответственный исполнитель:</w:t>
            </w:r>
            <w:r>
              <w:rPr>
                <w:strike w:val="false"/>
                <w:dstrike w:val="false"/>
                <w:color w:val="000000"/>
                <w:spacing w:val="0"/>
                <w:kern w:val="0"/>
                <w:sz w:val="20"/>
                <w:szCs w:val="20"/>
                <w:shd w:fill="auto" w:val="clear"/>
              </w:rPr>
              <w:t xml:space="preserve"> </w:t>
              <w:br/>
              <w:t>А.В. Шилов</w:t>
            </w:r>
          </w:p>
          <w:p>
            <w:pPr>
              <w:pStyle w:val="Normal"/>
              <w:widowControl w:val="false"/>
              <w:suppressAutoHyphens w:val="true"/>
              <w:spacing w:lineRule="auto" w:line="240" w:before="0" w:after="0"/>
              <w:ind w:left="0" w:right="0" w:hanging="0"/>
              <w:jc w:val="both"/>
              <w:rPr>
                <w:b/>
                <w:b/>
                <w:strike w:val="false"/>
                <w:dstrike w:val="false"/>
                <w:color w:val="000000"/>
                <w:spacing w:val="0"/>
                <w:kern w:val="0"/>
                <w:sz w:val="20"/>
                <w:szCs w:val="20"/>
                <w:shd w:fill="auto" w:val="clear"/>
              </w:rPr>
            </w:pPr>
            <w:r>
              <w:rPr>
                <w:b/>
                <w:strike w:val="false"/>
                <w:dstrike w:val="false"/>
                <w:color w:val="000000"/>
                <w:spacing w:val="0"/>
                <w:kern w:val="0"/>
                <w:sz w:val="20"/>
                <w:szCs w:val="20"/>
                <w:shd w:fill="auto" w:val="clear"/>
              </w:rPr>
              <w:t>Соисполнитель:</w:t>
            </w:r>
          </w:p>
          <w:p>
            <w:pPr>
              <w:pStyle w:val="Normal"/>
              <w:widowControl w:val="false"/>
              <w:suppressAutoHyphens w:val="true"/>
              <w:spacing w:lineRule="auto" w:line="240" w:before="0" w:after="0"/>
              <w:ind w:left="0" w:right="0" w:hanging="0"/>
              <w:jc w:val="left"/>
              <w:rPr>
                <w:strike w:val="false"/>
                <w:dstrike w:val="false"/>
                <w:spacing w:val="0"/>
                <w:kern w:val="0"/>
                <w:sz w:val="20"/>
                <w:szCs w:val="20"/>
                <w:shd w:fill="auto" w:val="clear"/>
              </w:rPr>
            </w:pPr>
            <w:r>
              <w:rPr>
                <w:strike w:val="false"/>
                <w:dstrike w:val="false"/>
                <w:spacing w:val="0"/>
                <w:kern w:val="0"/>
                <w:sz w:val="20"/>
                <w:szCs w:val="20"/>
                <w:shd w:fill="auto" w:val="clear"/>
              </w:rPr>
              <w:t>В.П. Петушенко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strike w:val="false"/>
                <w:dstrike w:val="false"/>
                <w:color w:val="000000"/>
                <w:spacing w:val="0"/>
                <w:kern w:val="0"/>
                <w:sz w:val="20"/>
                <w:szCs w:val="20"/>
                <w:shd w:fill="auto" w:val="clear"/>
              </w:rPr>
              <w:t xml:space="preserve">Реализованы утвержденные в установленном порядке программы капитального ремонта, ремонта и содержания автомобильных дорог </w:t>
            </w:r>
            <w:r>
              <w:rPr>
                <w:strike w:val="false"/>
                <w:dstrike w:val="false"/>
                <w:color w:val="000000"/>
                <w:spacing w:val="0"/>
                <w:kern w:val="0"/>
                <w:sz w:val="20"/>
                <w:szCs w:val="20"/>
                <w:shd w:fill="auto" w:val="clear"/>
              </w:rPr>
              <w:t xml:space="preserve">общего пользования </w:t>
            </w:r>
            <w:r>
              <w:rPr>
                <w:b w:val="false"/>
                <w:strike w:val="false"/>
                <w:dstrike w:val="false"/>
                <w:color w:val="000000"/>
                <w:spacing w:val="0"/>
                <w:kern w:val="0"/>
                <w:sz w:val="20"/>
                <w:szCs w:val="20"/>
                <w:shd w:fill="auto" w:val="clear"/>
              </w:rPr>
              <w:t xml:space="preserve">федерального значения, </w:t>
            </w:r>
            <w:r>
              <w:rPr>
                <w:strike w:val="false"/>
                <w:dstrike w:val="false"/>
                <w:color w:val="000000"/>
                <w:spacing w:val="0"/>
                <w:kern w:val="0"/>
                <w:sz w:val="20"/>
                <w:szCs w:val="20"/>
                <w:shd w:fill="auto" w:val="clear"/>
              </w:rPr>
              <w:t>переданных в доверительное управление Государственной компании «Автодор»</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26" w:before="0" w:after="0"/>
              <w:ind w:left="0" w:right="0" w:hanging="0"/>
              <w:jc w:val="both"/>
              <w:rPr>
                <w:rFonts w:eastAsia="Tahoma" w:cs="Droid Sans Devanagari"/>
                <w:b w:val="false"/>
                <w:b w:val="false"/>
                <w:strike w:val="false"/>
                <w:dstrike w:val="false"/>
                <w:color w:val="000000"/>
                <w:spacing w:val="0"/>
                <w:kern w:val="0"/>
                <w:sz w:val="20"/>
                <w:szCs w:val="20"/>
                <w:shd w:fill="auto" w:val="clear"/>
                <w:lang w:val="ru-RU" w:eastAsia="zh-CN" w:bidi="hi-IN"/>
              </w:rPr>
            </w:pPr>
            <w:r>
              <w:rPr>
                <w:rFonts w:eastAsia="Tahoma" w:cs="Droid Sans Devanagari"/>
                <w:b w:val="false"/>
                <w:strike w:val="false"/>
                <w:dstrike w:val="false"/>
                <w:color w:val="000000"/>
                <w:spacing w:val="0"/>
                <w:kern w:val="0"/>
                <w:sz w:val="20"/>
                <w:szCs w:val="20"/>
                <w:shd w:fill="auto" w:val="clear"/>
                <w:lang w:val="ru-RU" w:eastAsia="zh-CN" w:bidi="hi-IN"/>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ВЦП 3</w:t>
            </w:r>
          </w:p>
          <w:p>
            <w:pPr>
              <w:pStyle w:val="Normal"/>
              <w:widowControl w:val="false"/>
              <w:suppressAutoHyphens w:val="true"/>
              <w:spacing w:lineRule="auto" w:line="240" w:before="0" w:after="0"/>
              <w:ind w:left="0" w:right="0" w:hanging="0"/>
              <w:jc w:val="center"/>
              <w:rPr>
                <w:strike w:val="false"/>
                <w:dstrike w:val="false"/>
                <w:color w:val="000000"/>
                <w:spacing w:val="0"/>
                <w:kern w:val="0"/>
                <w:sz w:val="20"/>
                <w:szCs w:val="20"/>
                <w:shd w:fill="auto" w:val="clear"/>
              </w:rPr>
            </w:pPr>
            <w:r>
              <w:rPr>
                <w:strike w:val="false"/>
                <w:dstrike w:val="false"/>
                <w:color w:val="000000"/>
                <w:spacing w:val="0"/>
                <w:kern w:val="0"/>
                <w:sz w:val="20"/>
                <w:szCs w:val="20"/>
                <w:shd w:fill="auto" w:val="clear"/>
              </w:rPr>
              <w:t>ФП 28</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1.6. Содействие развитию автомобильных дорог регионального или межмуниципального и местного значения</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8"/>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1.6.</w:t>
            </w:r>
          </w:p>
          <w:p>
            <w:pPr>
              <w:pStyle w:val="Normal"/>
              <w:widowControl w:val="false"/>
              <w:suppressAutoHyphens w:val="true"/>
              <w:spacing w:lineRule="auto" w:line="240" w:before="0" w:after="0"/>
              <w:ind w:left="720" w:right="0" w:hanging="0"/>
              <w:jc w:val="both"/>
              <w:rPr/>
            </w:pPr>
            <w:r>
              <w:rPr>
                <w:color w:val="auto"/>
                <w:spacing w:val="0"/>
                <w:kern w:val="0"/>
                <w:sz w:val="20"/>
                <w:szCs w:val="20"/>
              </w:rPr>
              <w:t xml:space="preserve">Строительство и реконструкция автомобильных дорог регионального </w:t>
              <w:br/>
              <w:t>или межмуниципального и местного значения,</w:t>
            </w:r>
            <w:r>
              <w:rPr>
                <w:spacing w:val="0"/>
                <w:kern w:val="0"/>
                <w:sz w:val="20"/>
                <w:szCs w:val="20"/>
              </w:rPr>
              <w:t xml:space="preserve"> км</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color w:val="000000"/>
                <w:spacing w:val="0"/>
                <w:kern w:val="0"/>
                <w:sz w:val="20"/>
                <w:szCs w:val="20"/>
              </w:rPr>
            </w:pPr>
            <w:r>
              <w:rPr>
                <w:color w:val="000000"/>
                <w:spacing w:val="0"/>
                <w:kern w:val="0"/>
                <w:sz w:val="20"/>
                <w:szCs w:val="20"/>
              </w:rPr>
              <w:t>114</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color w:val="000000"/>
                <w:spacing w:val="0"/>
                <w:kern w:val="0"/>
                <w:sz w:val="20"/>
                <w:szCs w:val="20"/>
              </w:rPr>
            </w:pPr>
            <w:r>
              <w:rPr>
                <w:color w:val="000000"/>
                <w:spacing w:val="0"/>
                <w:kern w:val="0"/>
                <w:sz w:val="20"/>
                <w:szCs w:val="20"/>
              </w:rPr>
              <w:t>93,9</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color w:val="000000"/>
                <w:spacing w:val="0"/>
                <w:kern w:val="0"/>
                <w:sz w:val="20"/>
                <w:szCs w:val="20"/>
              </w:rPr>
            </w:pPr>
            <w:r>
              <w:rPr>
                <w:color w:val="000000"/>
                <w:spacing w:val="0"/>
                <w:kern w:val="0"/>
                <w:sz w:val="20"/>
                <w:szCs w:val="20"/>
              </w:rPr>
              <w:t>336,7</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pPr>
            <w:r>
              <w:rPr>
                <w:color w:val="000000"/>
                <w:spacing w:val="0"/>
                <w:kern w:val="0"/>
                <w:sz w:val="20"/>
                <w:szCs w:val="20"/>
              </w:rPr>
              <w:t>417,6</w:t>
            </w:r>
            <w:r>
              <w:rPr>
                <w:rStyle w:val="Style10"/>
                <w:color w:val="000000"/>
                <w:spacing w:val="0"/>
                <w:kern w:val="0"/>
                <w:sz w:val="20"/>
                <w:szCs w:val="20"/>
                <w:shd w:fill="auto" w:val="clear"/>
              </w:rPr>
              <w:footnoteReference w:id="17"/>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pPr>
            <w:r>
              <w:rPr>
                <w:color w:val="000000"/>
                <w:spacing w:val="0"/>
                <w:kern w:val="0"/>
                <w:sz w:val="20"/>
                <w:szCs w:val="20"/>
              </w:rPr>
              <w:t>156,6</w:t>
            </w:r>
            <w:r>
              <w:rPr>
                <w:color w:val="000000"/>
                <w:spacing w:val="0"/>
                <w:kern w:val="0"/>
                <w:sz w:val="20"/>
                <w:szCs w:val="20"/>
                <w:vertAlign w:val="superscript"/>
              </w:rPr>
              <w:t>16</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40" w:hanging="0"/>
              <w:jc w:val="center"/>
              <w:rPr/>
            </w:pPr>
            <w:r>
              <w:rPr>
                <w:color w:val="000000"/>
                <w:spacing w:val="0"/>
                <w:kern w:val="0"/>
                <w:sz w:val="20"/>
                <w:szCs w:val="20"/>
              </w:rPr>
              <w:t>166,6</w:t>
            </w:r>
            <w:r>
              <w:rPr>
                <w:color w:val="000000"/>
                <w:spacing w:val="0"/>
                <w:kern w:val="0"/>
                <w:sz w:val="20"/>
                <w:szCs w:val="20"/>
                <w:vertAlign w:val="superscript"/>
              </w:rPr>
              <w:t>16</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2</w:t>
            </w:r>
          </w:p>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ФП </w:t>
            </w:r>
            <w:r>
              <w:rPr>
                <w:rFonts w:eastAsia="Tahoma" w:cs="Droid Sans Devanagari"/>
                <w:color w:val="000000"/>
                <w:spacing w:val="0"/>
                <w:kern w:val="0"/>
                <w:sz w:val="20"/>
                <w:szCs w:val="20"/>
                <w:lang w:val="ru-RU" w:eastAsia="zh-CN" w:bidi="hi-IN"/>
              </w:rPr>
              <w:t>30</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1.6.1. </w:t>
            </w:r>
            <w:r>
              <w:rPr>
                <w:color w:val="000000"/>
                <w:spacing w:val="0"/>
                <w:kern w:val="0"/>
                <w:sz w:val="20"/>
                <w:szCs w:val="20"/>
              </w:rPr>
              <w:t>Реализация инвестиционных проектов по строительству и реконструкции автомобильных дорог регионального или межмуниципального и местного значения</w:t>
            </w:r>
            <w:r>
              <w:rPr>
                <w:b/>
                <w:color w:val="000000"/>
                <w:spacing w:val="0"/>
                <w:kern w:val="0"/>
                <w:sz w:val="20"/>
                <w:szCs w:val="20"/>
              </w:rPr>
              <w:t xml:space="preserve"> Ответственный исполнитель:</w:t>
            </w:r>
            <w:r>
              <w:rPr>
                <w:color w:val="000000"/>
                <w:spacing w:val="0"/>
                <w:kern w:val="0"/>
                <w:sz w:val="20"/>
                <w:szCs w:val="20"/>
              </w:rPr>
              <w:t xml:space="preserve"> </w:t>
              <w:br/>
              <w:t>А.В. Шилов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spacing w:val="0"/>
                <w:kern w:val="0"/>
                <w:sz w:val="20"/>
                <w:szCs w:val="20"/>
              </w:rPr>
            </w:pPr>
            <w:r>
              <w:rPr>
                <w:spacing w:val="0"/>
                <w:kern w:val="0"/>
                <w:sz w:val="20"/>
                <w:szCs w:val="20"/>
              </w:rPr>
              <w:t>И.В. Костюченко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Реализованы запланированные мероприятия по</w:t>
            </w:r>
            <w:r>
              <w:rPr>
                <w:color w:val="000000"/>
                <w:spacing w:val="0"/>
                <w:kern w:val="0"/>
                <w:sz w:val="20"/>
                <w:szCs w:val="20"/>
              </w:rPr>
              <w:t xml:space="preserve"> строительству и реконструкции автомобильных дорог регионального или межмуниципального и местного значения</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26"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 xml:space="preserve">В соответствии с контрольными точками реализации </w:t>
              <w:br/>
              <w:t>ФП 23</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2</w:t>
            </w:r>
          </w:p>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ФП </w:t>
            </w:r>
            <w:r>
              <w:rPr>
                <w:rFonts w:eastAsia="Tahoma" w:cs="Droid Sans Devanagari"/>
                <w:color w:val="000000"/>
                <w:spacing w:val="0"/>
                <w:kern w:val="0"/>
                <w:sz w:val="20"/>
                <w:szCs w:val="20"/>
                <w:lang w:val="ru-RU" w:eastAsia="zh-CN" w:bidi="hi-IN"/>
              </w:rPr>
              <w:t>30</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z w:val="20"/>
              </w:rPr>
            </w:pPr>
            <w:r>
              <w:rPr>
                <w:b/>
                <w:color w:val="000000"/>
                <w:spacing w:val="0"/>
                <w:kern w:val="0"/>
                <w:sz w:val="20"/>
                <w:szCs w:val="20"/>
              </w:rPr>
              <w:t xml:space="preserve">Цель 2. Повышение доступности качественных транспортных услуг для обеспечения транспортной подвижности населения на уровне 9,5 тыс. пасс.-км </w:t>
              <w:br/>
              <w:t>на 1 жителя</w:t>
            </w:r>
            <w:r>
              <w:rPr>
                <w:rStyle w:val="Style10"/>
                <w:b/>
                <w:color w:val="000000"/>
                <w:spacing w:val="0"/>
                <w:kern w:val="0"/>
                <w:sz w:val="20"/>
                <w:szCs w:val="20"/>
              </w:rPr>
              <w:footnoteReference w:id="18"/>
            </w:r>
            <w:r>
              <w:rPr>
                <w:b/>
                <w:color w:val="000000"/>
                <w:spacing w:val="0"/>
                <w:kern w:val="0"/>
                <w:sz w:val="20"/>
                <w:szCs w:val="20"/>
              </w:rPr>
              <w:t>.</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Ответственные исполнители:</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И.П. Чалик,</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В.А. Токарев</w:t>
            </w:r>
          </w:p>
        </w:tc>
      </w:tr>
      <w:tr>
        <w:trPr>
          <w:trHeight w:val="411"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rPr>
            </w:pPr>
            <w:r>
              <w:rPr>
                <w:b/>
                <w:color w:val="000000"/>
                <w:spacing w:val="0"/>
                <w:kern w:val="0"/>
                <w:sz w:val="20"/>
                <w:szCs w:val="20"/>
              </w:rPr>
              <w:t xml:space="preserve">Направление (блок мероприятий) 2.1. </w:t>
            </w:r>
            <w:r>
              <w:rPr>
                <w:b/>
                <w:spacing w:val="0"/>
                <w:kern w:val="0"/>
                <w:sz w:val="20"/>
                <w:szCs w:val="20"/>
              </w:rPr>
              <w:t>Обеспечение потребности в перевозках пассажиров железнодорожным транспортом</w:t>
            </w:r>
          </w:p>
        </w:tc>
      </w:tr>
      <w:tr>
        <w:trPr>
          <w:trHeight w:val="126"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9"/>
              </w:numPr>
              <w:suppressAutoHyphens w:val="true"/>
              <w:spacing w:lineRule="auto" w:line="240" w:before="0" w:after="0"/>
              <w:ind w:left="0" w:right="0" w:hanging="0"/>
              <w:jc w:val="left"/>
              <w:rPr>
                <w:b/>
                <w:b/>
                <w:color w:val="000000"/>
                <w:sz w:val="20"/>
                <w:shd w:fill="auto" w:val="clear"/>
              </w:rPr>
            </w:pPr>
            <w:r>
              <w:rPr>
                <w:b/>
                <w:color w:val="000000"/>
                <w:sz w:val="20"/>
                <w:shd w:fill="auto" w:val="clear"/>
              </w:rPr>
              <w:t>Индикатор направления (блока мероприятий) 2.1.</w:t>
            </w:r>
          </w:p>
          <w:p>
            <w:pPr>
              <w:pStyle w:val="Normal"/>
              <w:widowControl w:val="false"/>
              <w:suppressAutoHyphens w:val="true"/>
              <w:bidi w:val="0"/>
              <w:spacing w:lineRule="auto" w:line="240" w:before="0" w:after="0"/>
              <w:ind w:left="737" w:right="0" w:hanging="0"/>
              <w:jc w:val="left"/>
              <w:rPr>
                <w:b w:val="false"/>
                <w:b w:val="false"/>
                <w:bCs w:val="false"/>
                <w:color w:val="000000"/>
                <w:sz w:val="20"/>
                <w:shd w:fill="auto" w:val="clear"/>
              </w:rPr>
            </w:pPr>
            <w:r>
              <w:rPr>
                <w:b w:val="false"/>
                <w:bCs w:val="false"/>
                <w:color w:val="000000"/>
                <w:sz w:val="20"/>
                <w:shd w:fill="auto" w:val="clear"/>
              </w:rPr>
              <w:t>Пассажиропоток в железнодорожном сообщении для ключевых направлений Центрального транспортного узла, млн. пассажиров в год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764,9</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548,9</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771,1</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783,1</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791,1</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813,4</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22</w:t>
            </w:r>
          </w:p>
        </w:tc>
      </w:tr>
      <w:tr>
        <w:trPr>
          <w:trHeight w:val="126"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numPr>
                <w:ilvl w:val="0"/>
                <w:numId w:val="9"/>
              </w:numPr>
              <w:suppressAutoHyphens w:val="true"/>
              <w:spacing w:lineRule="auto" w:line="240" w:before="0" w:after="0"/>
              <w:ind w:left="0" w:right="0" w:hanging="0"/>
              <w:jc w:val="both"/>
              <w:rPr>
                <w:b/>
                <w:b/>
                <w:color w:val="000000"/>
                <w:spacing w:val="0"/>
                <w:kern w:val="0"/>
                <w:sz w:val="20"/>
                <w:szCs w:val="20"/>
                <w:shd w:fill="auto" w:val="clear"/>
              </w:rPr>
            </w:pPr>
            <w:r>
              <w:rPr>
                <w:b/>
                <w:color w:val="000000"/>
                <w:spacing w:val="0"/>
                <w:kern w:val="0"/>
                <w:sz w:val="20"/>
                <w:szCs w:val="20"/>
                <w:shd w:fill="auto" w:val="clear"/>
              </w:rPr>
              <w:t>Индикатор направления (блока мероприятий) 2.1.</w:t>
            </w:r>
          </w:p>
          <w:p>
            <w:pPr>
              <w:pStyle w:val="Normal"/>
              <w:widowControl w:val="false"/>
              <w:suppressAutoHyphens w:val="true"/>
              <w:bidi w:val="0"/>
              <w:spacing w:lineRule="auto" w:line="240" w:before="0" w:after="0"/>
              <w:ind w:left="737" w:right="0" w:hanging="0"/>
              <w:jc w:val="both"/>
              <w:rPr>
                <w:b w:val="false"/>
                <w:b w:val="false"/>
                <w:bCs w:val="false"/>
                <w:color w:val="000000"/>
                <w:spacing w:val="0"/>
                <w:kern w:val="0"/>
                <w:sz w:val="20"/>
                <w:szCs w:val="20"/>
                <w:shd w:fill="auto" w:val="clear"/>
              </w:rPr>
            </w:pPr>
            <w:r>
              <w:rPr>
                <w:b w:val="false"/>
                <w:bCs w:val="false"/>
                <w:color w:val="000000"/>
                <w:spacing w:val="0"/>
                <w:kern w:val="0"/>
                <w:sz w:val="20"/>
                <w:szCs w:val="20"/>
                <w:shd w:fill="auto" w:val="clear"/>
              </w:rPr>
              <w:t xml:space="preserve">Эксплуатационная длина дополнительных V и VI путей на участке </w:t>
              <w:br/>
              <w:t>Москва – Алабушево под специализированное пассажирское сообщение, км</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42,0</w:t>
            </w:r>
          </w:p>
        </w:tc>
        <w:tc>
          <w:tcPr>
            <w:tcW w:w="1311"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22</w:t>
            </w:r>
          </w:p>
        </w:tc>
      </w:tr>
      <w:tr>
        <w:trPr>
          <w:trHeight w:val="126" w:hRule="atLeast"/>
        </w:trPr>
        <w:tc>
          <w:tcPr>
            <w:tcW w:w="2560" w:type="dxa"/>
            <w:gridSpan w:val="2"/>
            <w:tcBorders>
              <w:left w:val="single" w:sz="4" w:space="0" w:color="000000"/>
              <w:bottom w:val="single" w:sz="4" w:space="0" w:color="000000"/>
            </w:tcBorders>
          </w:tcPr>
          <w:p>
            <w:pPr>
              <w:pStyle w:val="Normal"/>
              <w:keepNext w:val="true"/>
              <w:widowControl w:val="false"/>
              <w:jc w:val="left"/>
              <w:rPr/>
            </w:pPr>
            <w:r>
              <w:rPr>
                <w:b/>
                <w:sz w:val="20"/>
                <w:szCs w:val="20"/>
                <w:shd w:fill="auto" w:val="clear"/>
              </w:rPr>
              <w:t xml:space="preserve">Мероприятие 2.1.1. </w:t>
            </w:r>
            <w:r>
              <w:rPr>
                <w:sz w:val="20"/>
                <w:szCs w:val="20"/>
                <w:shd w:fill="auto" w:val="clear"/>
              </w:rPr>
              <w:t>Усиление железнодорожной инфраструктуры для освоения прогнозируемых пассажирских перевозок в Центральном транспортном узле</w:t>
            </w:r>
          </w:p>
          <w:p>
            <w:pPr>
              <w:pStyle w:val="Normal"/>
              <w:widowControl w:val="false"/>
              <w:jc w:val="left"/>
              <w:rPr/>
            </w:pPr>
            <w:r>
              <w:rPr>
                <w:b/>
                <w:sz w:val="20"/>
                <w:szCs w:val="20"/>
                <w:shd w:fill="auto" w:val="clear"/>
              </w:rPr>
              <w:t>Ответственный исполнитель:</w:t>
            </w:r>
            <w:r>
              <w:rPr>
                <w:sz w:val="20"/>
                <w:szCs w:val="20"/>
                <w:shd w:fill="auto" w:val="clear"/>
              </w:rPr>
              <w:t xml:space="preserve"> </w:t>
              <w:br/>
              <w:t>А.А. Федорчук</w:t>
            </w:r>
          </w:p>
          <w:p>
            <w:pPr>
              <w:pStyle w:val="Normal"/>
              <w:widowControl w:val="false"/>
              <w:jc w:val="left"/>
              <w:rPr>
                <w:b/>
                <w:b/>
                <w:sz w:val="20"/>
                <w:szCs w:val="20"/>
                <w:shd w:fill="auto" w:val="clear"/>
              </w:rPr>
            </w:pPr>
            <w:r>
              <w:rPr>
                <w:b/>
                <w:sz w:val="20"/>
                <w:szCs w:val="20"/>
                <w:shd w:fill="auto" w:val="clear"/>
              </w:rPr>
              <w:t>Соисполнитель:</w:t>
            </w:r>
          </w:p>
          <w:p>
            <w:pPr>
              <w:pStyle w:val="Normal"/>
              <w:widowControl w:val="false"/>
              <w:jc w:val="left"/>
              <w:rPr>
                <w:sz w:val="20"/>
                <w:szCs w:val="20"/>
                <w:shd w:fill="auto" w:val="clear"/>
              </w:rPr>
            </w:pPr>
            <w:r>
              <w:rPr>
                <w:sz w:val="20"/>
                <w:szCs w:val="20"/>
                <w:shd w:fill="auto" w:val="clear"/>
              </w:rPr>
              <w:t>И.Ю. Коваль</w:t>
            </w:r>
          </w:p>
        </w:tc>
        <w:tc>
          <w:tcPr>
            <w:tcW w:w="2378" w:type="dxa"/>
            <w:tcBorders>
              <w:left w:val="single" w:sz="4" w:space="0" w:color="000000"/>
              <w:bottom w:val="single" w:sz="4" w:space="0" w:color="000000"/>
            </w:tcBorders>
          </w:tcPr>
          <w:p>
            <w:pPr>
              <w:pStyle w:val="Normal"/>
              <w:widowControl w:val="false"/>
              <w:jc w:val="both"/>
              <w:rPr>
                <w:sz w:val="20"/>
                <w:szCs w:val="20"/>
                <w:shd w:fill="auto" w:val="clear"/>
              </w:rPr>
            </w:pPr>
            <w:r>
              <w:rPr>
                <w:sz w:val="20"/>
                <w:szCs w:val="20"/>
                <w:shd w:fill="auto" w:val="clear"/>
              </w:rPr>
              <w:t>Усиление железнодорожной инфраструктуры Центрального транспортного узла по итогам реализации проекта позволит обеспечить рост прогнозируемого пассажиропотока в пригородном сообщении в Центральном транспортном узле с 751,5 млн. пасс. в 2017 году до 850,0 млн. человек к концу 2030 года, в том числе за счет строительства Московских Центральных Диаметров, с учётом строительства дополнительных V и VI путей на участке Москва – Алабушево под специализированное пассажирское сообщение протяженностью 42 км к концу 2024 года</w:t>
            </w:r>
          </w:p>
          <w:p>
            <w:pPr>
              <w:pStyle w:val="Normal"/>
              <w:widowControl w:val="false"/>
              <w:jc w:val="both"/>
              <w:rPr>
                <w:sz w:val="20"/>
                <w:szCs w:val="20"/>
                <w:shd w:fill="auto" w:val="clear"/>
              </w:rPr>
            </w:pPr>
            <w:r>
              <w:rPr>
                <w:sz w:val="20"/>
                <w:szCs w:val="20"/>
                <w:shd w:fill="auto" w:val="clear"/>
              </w:rPr>
            </w:r>
          </w:p>
        </w:tc>
        <w:tc>
          <w:tcPr>
            <w:tcW w:w="1866" w:type="dxa"/>
            <w:gridSpan w:val="2"/>
            <w:tcBorders>
              <w:left w:val="single" w:sz="4" w:space="0" w:color="000000"/>
              <w:bottom w:val="single" w:sz="4" w:space="0" w:color="000000"/>
            </w:tcBorders>
          </w:tcPr>
          <w:p>
            <w:pPr>
              <w:pStyle w:val="Normal"/>
              <w:widowControl w:val="false"/>
              <w:jc w:val="both"/>
              <w:rPr/>
            </w:pPr>
            <w:r>
              <w:rPr>
                <w:rStyle w:val="85pt"/>
                <w:b w:val="false"/>
                <w:sz w:val="20"/>
                <w:szCs w:val="20"/>
                <w:shd w:fill="auto" w:val="clear"/>
              </w:rPr>
              <w:t>В соответствии с контрольными точками реализации ФП 22</w:t>
            </w:r>
          </w:p>
        </w:tc>
        <w:tc>
          <w:tcPr>
            <w:tcW w:w="1399"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Проектный</w:t>
            </w:r>
          </w:p>
        </w:tc>
        <w:tc>
          <w:tcPr>
            <w:tcW w:w="922"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IV кв.</w:t>
            </w:r>
          </w:p>
        </w:tc>
        <w:tc>
          <w:tcPr>
            <w:tcW w:w="932"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IV кв.</w:t>
            </w:r>
          </w:p>
        </w:tc>
        <w:tc>
          <w:tcPr>
            <w:tcW w:w="951"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IV кв.</w:t>
            </w:r>
          </w:p>
        </w:tc>
        <w:tc>
          <w:tcPr>
            <w:tcW w:w="925"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IV кв.</w:t>
            </w:r>
          </w:p>
        </w:tc>
        <w:tc>
          <w:tcPr>
            <w:tcW w:w="923" w:type="dxa"/>
            <w:gridSpan w:val="2"/>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IV кв.</w:t>
            </w:r>
          </w:p>
        </w:tc>
        <w:tc>
          <w:tcPr>
            <w:tcW w:w="919"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IV кв.</w:t>
            </w:r>
          </w:p>
        </w:tc>
        <w:tc>
          <w:tcPr>
            <w:tcW w:w="1311"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shd w:fill="auto" w:val="clear"/>
              </w:rPr>
            </w:pPr>
            <w:r>
              <w:rPr>
                <w:color w:val="000000"/>
                <w:sz w:val="20"/>
                <w:szCs w:val="20"/>
                <w:shd w:fill="auto" w:val="clear"/>
              </w:rPr>
              <w:t>ГП 24</w:t>
            </w:r>
          </w:p>
          <w:p>
            <w:pPr>
              <w:pStyle w:val="Normal"/>
              <w:widowControl w:val="false"/>
              <w:jc w:val="center"/>
              <w:rPr>
                <w:color w:val="000000"/>
                <w:sz w:val="20"/>
                <w:szCs w:val="20"/>
                <w:shd w:fill="auto" w:val="clear"/>
              </w:rPr>
            </w:pPr>
            <w:r>
              <w:rPr>
                <w:color w:val="000000"/>
                <w:sz w:val="20"/>
                <w:szCs w:val="20"/>
                <w:shd w:fill="auto" w:val="clear"/>
              </w:rPr>
              <w:t>НП 1</w:t>
            </w:r>
          </w:p>
          <w:p>
            <w:pPr>
              <w:pStyle w:val="Normal"/>
              <w:widowControl w:val="false"/>
              <w:jc w:val="center"/>
              <w:rPr>
                <w:color w:val="000000"/>
                <w:sz w:val="20"/>
                <w:szCs w:val="20"/>
                <w:shd w:fill="auto" w:val="clear"/>
              </w:rPr>
            </w:pPr>
            <w:r>
              <w:rPr>
                <w:color w:val="000000"/>
                <w:sz w:val="20"/>
                <w:szCs w:val="20"/>
                <w:shd w:fill="auto" w:val="clear"/>
              </w:rPr>
              <w:t>НП 3</w:t>
            </w:r>
          </w:p>
          <w:p>
            <w:pPr>
              <w:pStyle w:val="Normal"/>
              <w:widowControl w:val="false"/>
              <w:jc w:val="center"/>
              <w:rPr>
                <w:color w:val="000000"/>
                <w:sz w:val="20"/>
                <w:szCs w:val="20"/>
                <w:shd w:fill="auto" w:val="clear"/>
              </w:rPr>
            </w:pPr>
            <w:r>
              <w:rPr>
                <w:color w:val="000000"/>
                <w:sz w:val="20"/>
                <w:szCs w:val="20"/>
                <w:shd w:fill="auto" w:val="clear"/>
              </w:rPr>
              <w:t>ФП 22</w:t>
            </w:r>
          </w:p>
        </w:tc>
      </w:tr>
      <w:tr>
        <w:trPr>
          <w:trHeight w:val="126"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numPr>
                <w:ilvl w:val="0"/>
                <w:numId w:val="9"/>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2.1.</w:t>
            </w:r>
          </w:p>
          <w:p>
            <w:pPr>
              <w:pStyle w:val="Normal"/>
              <w:widowControl w:val="false"/>
              <w:suppressAutoHyphens w:val="true"/>
              <w:spacing w:lineRule="auto" w:line="240" w:before="0" w:after="0"/>
              <w:ind w:left="720" w:right="0" w:hanging="0"/>
              <w:jc w:val="both"/>
              <w:rPr/>
            </w:pPr>
            <w:r>
              <w:rPr>
                <w:color w:val="auto"/>
                <w:spacing w:val="0"/>
                <w:kern w:val="0"/>
                <w:sz w:val="20"/>
                <w:szCs w:val="20"/>
              </w:rPr>
              <w:t>Транспортная подвижность населения на железнодорожном транспорте</w:t>
            </w:r>
            <w:r>
              <w:rPr>
                <w:color w:val="000000"/>
                <w:spacing w:val="0"/>
                <w:kern w:val="0"/>
                <w:sz w:val="20"/>
                <w:szCs w:val="20"/>
              </w:rPr>
              <w:t>, пасс.-км</w:t>
              <w:br/>
              <w:t>на 1 жителя</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868,7</w:t>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525</w:t>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878</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931</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947</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971</w:t>
            </w:r>
          </w:p>
        </w:tc>
        <w:tc>
          <w:tcPr>
            <w:tcW w:w="1311"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z w:val="20"/>
              </w:rPr>
            </w:pPr>
            <w:r>
              <w:rPr>
                <w:color w:val="000000"/>
                <w:sz w:val="20"/>
              </w:rPr>
              <w:t>ФП 27</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9"/>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2.1.</w:t>
            </w:r>
          </w:p>
          <w:p>
            <w:pPr>
              <w:pStyle w:val="Normal"/>
              <w:widowControl w:val="false"/>
              <w:suppressAutoHyphens w:val="true"/>
              <w:spacing w:lineRule="auto" w:line="240" w:before="0" w:after="0"/>
              <w:ind w:left="720" w:right="0" w:hanging="0"/>
              <w:jc w:val="both"/>
              <w:rPr/>
            </w:pPr>
            <w:r>
              <w:rPr>
                <w:color w:val="auto"/>
                <w:spacing w:val="0"/>
                <w:kern w:val="0"/>
                <w:sz w:val="20"/>
                <w:szCs w:val="20"/>
              </w:rPr>
              <w:t xml:space="preserve">Отправленные пассажиры в дальнем следовании, в том числе в регулируемом государственном секторе, </w:t>
            </w:r>
            <w:r>
              <w:rPr>
                <w:color w:val="000000"/>
                <w:spacing w:val="0"/>
                <w:kern w:val="0"/>
                <w:sz w:val="20"/>
                <w:szCs w:val="20"/>
              </w:rPr>
              <w:t>млн. человек</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133,4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59,8</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75,5</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59,0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 </w:t>
            </w:r>
            <w:r>
              <w:rPr>
                <w:color w:val="000000"/>
                <w:spacing w:val="0"/>
                <w:kern w:val="0"/>
                <w:sz w:val="20"/>
                <w:szCs w:val="20"/>
              </w:rPr>
              <w:t>128,7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59</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136,4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59</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138,6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59,1</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142,1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59,1</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9"/>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2.1.</w:t>
            </w:r>
          </w:p>
          <w:p>
            <w:pPr>
              <w:pStyle w:val="Normal"/>
              <w:widowControl w:val="false"/>
              <w:suppressAutoHyphens w:val="true"/>
              <w:spacing w:lineRule="auto" w:line="240" w:before="0" w:after="0"/>
              <w:ind w:left="720" w:right="0" w:hanging="0"/>
              <w:jc w:val="left"/>
              <w:rPr>
                <w:color w:val="auto"/>
                <w:spacing w:val="0"/>
                <w:kern w:val="0"/>
                <w:sz w:val="20"/>
                <w:szCs w:val="20"/>
              </w:rPr>
            </w:pPr>
            <w:r>
              <w:rPr>
                <w:color w:val="auto"/>
                <w:spacing w:val="0"/>
                <w:kern w:val="0"/>
                <w:sz w:val="20"/>
                <w:szCs w:val="20"/>
              </w:rPr>
              <w:t>Объем транспортной работы в пригородном сообщении, млн. ваг-км</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1189</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1246,9</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1301,</w:t>
            </w:r>
            <w:r>
              <w:rPr>
                <w:rFonts w:eastAsia="Tahoma" w:cs="Droid Sans Devanagari"/>
                <w:color w:val="000000"/>
                <w:spacing w:val="0"/>
                <w:kern w:val="0"/>
                <w:sz w:val="20"/>
                <w:szCs w:val="20"/>
                <w:lang w:val="ru-RU" w:eastAsia="zh-CN" w:bidi="hi-IN"/>
              </w:rPr>
              <w:t>8</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1301,</w:t>
            </w:r>
            <w:r>
              <w:rPr>
                <w:rFonts w:eastAsia="Tahoma" w:cs="Droid Sans Devanagari"/>
                <w:color w:val="000000"/>
                <w:spacing w:val="0"/>
                <w:kern w:val="0"/>
                <w:sz w:val="20"/>
                <w:szCs w:val="20"/>
                <w:lang w:val="ru-RU" w:eastAsia="zh-CN" w:bidi="hi-IN"/>
              </w:rPr>
              <w:t>8</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1301,8</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1317,1</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9"/>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2.1.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Объем пассажирских перевозок (пассажирооборот) на Крымском полуострове,</w:t>
              <w:br/>
              <w:t>млн. пасс.-км</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658,2</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478,8</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493,51</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495,36</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497,22</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272"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numPr>
                <w:ilvl w:val="0"/>
                <w:numId w:val="9"/>
              </w:numPr>
              <w:suppressAutoHyphens w:val="true"/>
              <w:spacing w:lineRule="auto" w:line="240" w:before="0" w:after="0"/>
              <w:ind w:left="0" w:right="0" w:hanging="0"/>
              <w:jc w:val="both"/>
              <w:rPr>
                <w:b/>
                <w:b/>
                <w:color w:val="000000"/>
                <w:sz w:val="20"/>
                <w:szCs w:val="20"/>
              </w:rPr>
            </w:pPr>
            <w:r>
              <w:rPr>
                <w:b/>
                <w:color w:val="000000"/>
                <w:sz w:val="20"/>
                <w:szCs w:val="20"/>
              </w:rPr>
              <w:t>Индикатор направления (блока мероприятий) 2.1.</w:t>
            </w:r>
          </w:p>
          <w:p>
            <w:pPr>
              <w:pStyle w:val="Normal"/>
              <w:widowControl w:val="false"/>
              <w:suppressAutoHyphens w:val="true"/>
              <w:bidi w:val="0"/>
              <w:spacing w:lineRule="auto" w:line="240" w:before="0" w:after="0"/>
              <w:ind w:left="737" w:right="0" w:hanging="0"/>
              <w:jc w:val="both"/>
              <w:rPr>
                <w:b w:val="false"/>
                <w:b w:val="false"/>
                <w:bCs w:val="false"/>
                <w:color w:val="000000"/>
                <w:sz w:val="20"/>
                <w:szCs w:val="20"/>
              </w:rPr>
            </w:pPr>
            <w:r>
              <w:rPr>
                <w:b w:val="false"/>
                <w:bCs w:val="false"/>
                <w:color w:val="000000"/>
                <w:sz w:val="20"/>
                <w:szCs w:val="20"/>
              </w:rPr>
              <w:t>Объем грузовых перевозок (грузооборот) на Крымском полуострове, млн. т-км</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t>1063,7</w:t>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t>726,05</w:t>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t>1462,83</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t>1283,2</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t>1292,6</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1294,55</w:t>
            </w:r>
          </w:p>
        </w:tc>
        <w:tc>
          <w:tcPr>
            <w:tcW w:w="1311"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272"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numPr>
                <w:ilvl w:val="0"/>
                <w:numId w:val="9"/>
              </w:numPr>
              <w:suppressAutoHyphens w:val="true"/>
              <w:bidi w:val="0"/>
              <w:spacing w:lineRule="auto" w:line="240" w:before="0" w:after="0"/>
              <w:ind w:left="737" w:right="0" w:hanging="737"/>
              <w:jc w:val="left"/>
              <w:rPr>
                <w:b/>
                <w:b/>
                <w:color w:val="000000"/>
                <w:sz w:val="20"/>
                <w:szCs w:val="20"/>
              </w:rPr>
            </w:pPr>
            <w:r>
              <w:rPr>
                <w:b/>
                <w:color w:val="000000"/>
                <w:sz w:val="20"/>
                <w:szCs w:val="20"/>
              </w:rPr>
              <w:t>Индикатор направления (блока мероприятий) 2.1.</w:t>
            </w:r>
          </w:p>
          <w:p>
            <w:pPr>
              <w:pStyle w:val="Normal"/>
              <w:widowControl w:val="false"/>
              <w:suppressAutoHyphens w:val="true"/>
              <w:bidi w:val="0"/>
              <w:spacing w:lineRule="auto" w:line="240" w:before="0" w:after="0"/>
              <w:ind w:left="737" w:right="0" w:hanging="0"/>
              <w:jc w:val="both"/>
              <w:rPr>
                <w:b w:val="false"/>
                <w:b w:val="false"/>
                <w:bCs w:val="false"/>
                <w:color w:val="000000"/>
                <w:sz w:val="20"/>
                <w:szCs w:val="20"/>
              </w:rPr>
            </w:pPr>
            <w:r>
              <w:rPr>
                <w:b w:val="false"/>
                <w:bCs w:val="false"/>
                <w:color w:val="000000"/>
                <w:sz w:val="20"/>
                <w:szCs w:val="20"/>
              </w:rPr>
              <w:t>Снижение на Крымском полуострове показателя просроченности ремонтами пути,%</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t>32,8</w:t>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t>28,67</w:t>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t>24,58</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sz w:val="20"/>
              </w:rPr>
            </w:r>
          </w:p>
        </w:tc>
        <w:tc>
          <w:tcPr>
            <w:tcW w:w="1311" w:type="dxa"/>
            <w:tcBorders>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ГП 24</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ВЦП 4</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ФП 27</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2.1.2.</w:t>
            </w:r>
            <w:r>
              <w:rPr>
                <w:color w:val="000000"/>
                <w:spacing w:val="0"/>
                <w:kern w:val="0"/>
                <w:sz w:val="20"/>
                <w:szCs w:val="20"/>
              </w:rPr>
              <w:t xml:space="preserve"> Предоставление субсидий организациям железнодорожного транспорта на компенсацию потерь в доходах, возникающих в результате государственного регулирования тарифов на перевозку пассажиров в поездах дальнего следования в плацкартных и общих вагонах</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И.Ю. Коваль</w:t>
            </w:r>
          </w:p>
          <w:p>
            <w:pPr>
              <w:pStyle w:val="Normal"/>
              <w:widowControl w:val="false"/>
              <w:suppressAutoHyphens w:val="true"/>
              <w:spacing w:lineRule="auto" w:line="240" w:before="0" w:after="0"/>
              <w:ind w:left="0" w:right="0" w:hanging="0"/>
              <w:jc w:val="both"/>
              <w:rPr>
                <w:sz w:val="20"/>
              </w:rPr>
            </w:pPr>
            <w:r>
              <w:rPr>
                <w:sz w:val="20"/>
              </w:rPr>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r>
          </w:p>
          <w:p>
            <w:pPr>
              <w:pStyle w:val="Normal"/>
              <w:widowControl w:val="false"/>
              <w:jc w:val="both"/>
              <w:rPr/>
            </w:pPr>
            <w:r>
              <w:rPr>
                <w:sz w:val="20"/>
                <w:szCs w:val="20"/>
              </w:rPr>
              <w:t xml:space="preserve">Результатом предоставления субсидии является обеспечение полной компенсации организациям железнодорожного транспорта потерь в доходах, возникающих в результате государственного регулирования тарифов на перевозку пассажиров в поездах дальнего следования в плацкартных и общих вагонах, что </w:t>
            </w:r>
            <w:r>
              <w:rPr>
                <w:color w:val="000000"/>
                <w:spacing w:val="0"/>
                <w:kern w:val="0"/>
                <w:sz w:val="20"/>
                <w:szCs w:val="20"/>
              </w:rPr>
              <w:t>позволит обеспечить географическую доступность пассажирам, связанность территорий страны и социальную защищенность населения</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2.1.3.</w:t>
            </w:r>
            <w:r>
              <w:rPr>
                <w:color w:val="000000"/>
                <w:spacing w:val="0"/>
                <w:kern w:val="0"/>
                <w:sz w:val="20"/>
                <w:szCs w:val="20"/>
              </w:rPr>
              <w:t xml:space="preserve"> Предоставление субсидий организациям железнодорожного транспорта на компенсацию потерь в доходах, возникающих в результате установления льгот по тарифам на перевозку обучающихся и воспитанников общеобразовательных учреждений старше 10 лет железнодорожным транспортом общего пользования в общих и плацкартных вагонах, а также двухэтажных пассажирских вагонах с четырехместными купе  в поездах дальнего следования всех категорий</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И.Ю. Коваль</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Результатом предоставления субсидии является обеспечение полной компенсации организациям железнодорожного транспорта потерь в доходах, возникающих в результате установления льгот по тарифам, что</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позволит обеспечить социальную защищенность населения, обеспечить транспортную подвижность населения</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jc w:val="both"/>
              <w:rPr/>
            </w:pPr>
            <w:r>
              <w:rPr>
                <w:b/>
                <w:sz w:val="20"/>
                <w:szCs w:val="20"/>
              </w:rPr>
              <w:t>Мероприятие 2.1.4.</w:t>
            </w:r>
            <w:r>
              <w:rPr>
                <w:sz w:val="20"/>
                <w:szCs w:val="20"/>
              </w:rPr>
              <w:t xml:space="preserve"> Предоставление субсидий акционерному обществу Транспортная компания «Гранд Сервис Экспресс» на компенсацию потерь в доходах, возникающих в результате установления льгот по тарифам на перевозку обучающихся и воспитанников общеобразовательных учреждений старше 10 лет железнодорожным транспортом общего пользования в общих и плацкартных вагонах в поездах дальнего следования всех категорий в летний период на территории Республики Крым и города федерального значения Севастополя и в обратном направлении</w:t>
            </w:r>
          </w:p>
          <w:p>
            <w:pPr>
              <w:pStyle w:val="Normal"/>
              <w:widowControl w:val="false"/>
              <w:jc w:val="both"/>
              <w:rPr/>
            </w:pPr>
            <w:r>
              <w:rPr>
                <w:b/>
                <w:sz w:val="20"/>
                <w:szCs w:val="20"/>
              </w:rPr>
              <w:t>Ответственный исполнитель:</w:t>
            </w:r>
            <w:r>
              <w:rPr>
                <w:sz w:val="20"/>
                <w:szCs w:val="20"/>
              </w:rPr>
              <w:t xml:space="preserve"> </w:t>
              <w:br/>
              <w:t>А.А. Федорчук</w:t>
            </w:r>
          </w:p>
          <w:p>
            <w:pPr>
              <w:pStyle w:val="Normal"/>
              <w:widowControl w:val="false"/>
              <w:jc w:val="both"/>
              <w:rPr>
                <w:b/>
                <w:b/>
                <w:sz w:val="20"/>
                <w:szCs w:val="20"/>
              </w:rPr>
            </w:pPr>
            <w:r>
              <w:rPr>
                <w:b/>
                <w:sz w:val="20"/>
                <w:szCs w:val="20"/>
              </w:rPr>
              <w:t>Соисполнитель:</w:t>
            </w:r>
          </w:p>
          <w:p>
            <w:pPr>
              <w:pStyle w:val="Normal"/>
              <w:widowControl w:val="false"/>
              <w:jc w:val="both"/>
              <w:rPr>
                <w:sz w:val="20"/>
                <w:szCs w:val="20"/>
              </w:rPr>
            </w:pPr>
            <w:r>
              <w:rPr>
                <w:sz w:val="20"/>
                <w:szCs w:val="20"/>
              </w:rPr>
              <w:t>И.Ю. Коваль</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jc w:val="both"/>
              <w:rPr>
                <w:color w:val="000000"/>
                <w:sz w:val="20"/>
                <w:szCs w:val="20"/>
              </w:rPr>
            </w:pPr>
            <w:r>
              <w:rPr>
                <w:color w:val="000000"/>
                <w:sz w:val="20"/>
                <w:szCs w:val="20"/>
              </w:rPr>
              <w:t>Результатом предоставления субсидии является отношение фактического значения количества перевезенных школьников в Республику Крым и г. Севастополь и в обратном направлении, измеряемого в тысячах перевезенных школьников, к плановому значению количества перевезенных школьников, установленному в соглашении, что</w:t>
            </w:r>
          </w:p>
          <w:p>
            <w:pPr>
              <w:pStyle w:val="Normal"/>
              <w:widowControl w:val="false"/>
              <w:jc w:val="both"/>
              <w:rPr/>
            </w:pPr>
            <w:r>
              <w:rPr>
                <w:color w:val="000000"/>
                <w:sz w:val="20"/>
                <w:szCs w:val="20"/>
              </w:rPr>
              <w:t xml:space="preserve">позволит обеспечить социальную </w:t>
            </w:r>
            <w:r>
              <w:rPr>
                <w:sz w:val="20"/>
                <w:szCs w:val="20"/>
              </w:rPr>
              <w:t>защищенность</w:t>
            </w:r>
            <w:r>
              <w:rPr>
                <w:color w:val="000000"/>
                <w:sz w:val="20"/>
                <w:szCs w:val="20"/>
              </w:rPr>
              <w:t xml:space="preserve"> населения, обеспечить транспортную подвижность населения Крымского полуострова</w:t>
            </w:r>
          </w:p>
          <w:p>
            <w:pPr>
              <w:pStyle w:val="Default1"/>
              <w:widowControl w:val="false"/>
              <w:suppressAutoHyphens w:val="true"/>
              <w:spacing w:before="0" w:after="0"/>
              <w:jc w:val="both"/>
              <w:rPr>
                <w:rFonts w:ascii="Times New Roman" w:hAnsi="Times New Roman" w:eastAsia="Tahoma" w:cs="Droid Sans Devanagari"/>
                <w:color w:val="000000"/>
                <w:kern w:val="0"/>
                <w:sz w:val="20"/>
                <w:szCs w:val="20"/>
                <w:lang w:val="ru-RU" w:eastAsia="zh-CN" w:bidi="hi-IN"/>
              </w:rPr>
            </w:pPr>
            <w:r>
              <w:rPr>
                <w:rFonts w:eastAsia="Tahoma" w:cs="Droid Sans Devanagari"/>
                <w:color w:val="000000"/>
                <w:kern w:val="0"/>
                <w:sz w:val="20"/>
                <w:szCs w:val="20"/>
                <w:lang w:val="ru-RU" w:eastAsia="zh-CN" w:bidi="hi-IN"/>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jc w:val="both"/>
              <w:rPr/>
            </w:pPr>
            <w:r>
              <w:rPr>
                <w:rStyle w:val="85pt"/>
                <w:b w:val="false"/>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color w:val="000000"/>
                <w:sz w:val="20"/>
                <w:szCs w:val="20"/>
                <w:lang w:val="en-US"/>
              </w:rPr>
              <w:t>I</w:t>
            </w:r>
            <w:r>
              <w:rPr>
                <w:color w:val="000000"/>
                <w:sz w:val="20"/>
                <w:szCs w:val="20"/>
              </w:rPr>
              <w:t xml:space="preserve"> - </w:t>
            </w:r>
            <w:r>
              <w:rPr>
                <w:color w:val="000000"/>
                <w:sz w:val="20"/>
                <w:szCs w:val="20"/>
                <w:lang w:val="en-US"/>
              </w:rPr>
              <w:t>IV</w:t>
            </w:r>
            <w:r>
              <w:rPr>
                <w:color w:val="000000"/>
                <w:sz w:val="20"/>
                <w:szCs w:val="20"/>
              </w:rPr>
              <w:t xml:space="preserve">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color w:val="000000"/>
                <w:sz w:val="20"/>
                <w:szCs w:val="20"/>
                <w:lang w:val="en-US"/>
              </w:rPr>
              <w:t>I</w:t>
            </w:r>
            <w:r>
              <w:rPr>
                <w:color w:val="000000"/>
                <w:sz w:val="20"/>
                <w:szCs w:val="20"/>
              </w:rPr>
              <w:t xml:space="preserve"> - </w:t>
            </w:r>
            <w:r>
              <w:rPr>
                <w:color w:val="000000"/>
                <w:sz w:val="20"/>
                <w:szCs w:val="20"/>
                <w:lang w:val="en-US"/>
              </w:rPr>
              <w:t>IV</w:t>
            </w:r>
            <w:r>
              <w:rPr>
                <w:color w:val="000000"/>
                <w:sz w:val="20"/>
                <w:szCs w:val="20"/>
              </w:rPr>
              <w:t xml:space="preserve">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color w:val="000000"/>
                <w:sz w:val="20"/>
                <w:szCs w:val="20"/>
                <w:lang w:val="en-US"/>
              </w:rPr>
              <w:t>I</w:t>
            </w:r>
            <w:r>
              <w:rPr>
                <w:color w:val="000000"/>
                <w:sz w:val="20"/>
                <w:szCs w:val="20"/>
              </w:rPr>
              <w:t xml:space="preserve"> - </w:t>
            </w:r>
            <w:r>
              <w:rPr>
                <w:color w:val="000000"/>
                <w:sz w:val="20"/>
                <w:szCs w:val="20"/>
                <w:lang w:val="en-US"/>
              </w:rPr>
              <w:t>IV</w:t>
            </w:r>
            <w:r>
              <w:rPr>
                <w:color w:val="000000"/>
                <w:sz w:val="20"/>
                <w:szCs w:val="20"/>
              </w:rPr>
              <w:t xml:space="preserve">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color w:val="000000"/>
                <w:sz w:val="20"/>
                <w:szCs w:val="20"/>
                <w:lang w:val="en-US"/>
              </w:rPr>
              <w:t>I</w:t>
            </w:r>
            <w:r>
              <w:rPr>
                <w:color w:val="000000"/>
                <w:sz w:val="20"/>
                <w:szCs w:val="20"/>
              </w:rPr>
              <w:t xml:space="preserve"> - </w:t>
            </w:r>
            <w:r>
              <w:rPr>
                <w:color w:val="000000"/>
                <w:sz w:val="20"/>
                <w:szCs w:val="20"/>
                <w:lang w:val="en-US"/>
              </w:rPr>
              <w:t>IV</w:t>
            </w:r>
            <w:r>
              <w:rPr>
                <w:color w:val="000000"/>
                <w:sz w:val="20"/>
                <w:szCs w:val="20"/>
              </w:rPr>
              <w:t xml:space="preserve">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color w:val="000000"/>
                <w:sz w:val="20"/>
                <w:szCs w:val="20"/>
                <w:lang w:val="en-US"/>
              </w:rPr>
              <w:t>I</w:t>
            </w:r>
            <w:r>
              <w:rPr>
                <w:color w:val="000000"/>
                <w:sz w:val="20"/>
                <w:szCs w:val="20"/>
              </w:rPr>
              <w:t xml:space="preserve"> - </w:t>
            </w:r>
            <w:r>
              <w:rPr>
                <w:color w:val="000000"/>
                <w:sz w:val="20"/>
                <w:szCs w:val="20"/>
                <w:lang w:val="en-US"/>
              </w:rPr>
              <w:t>IV</w:t>
            </w:r>
            <w:r>
              <w:rPr>
                <w:color w:val="000000"/>
                <w:sz w:val="20"/>
                <w:szCs w:val="20"/>
              </w:rPr>
              <w:t xml:space="preserve">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color w:val="000000"/>
                <w:sz w:val="20"/>
                <w:szCs w:val="20"/>
                <w:lang w:val="en-US"/>
              </w:rPr>
              <w:t>I</w:t>
            </w:r>
            <w:r>
              <w:rPr>
                <w:color w:val="000000"/>
                <w:sz w:val="20"/>
                <w:szCs w:val="20"/>
              </w:rPr>
              <w:t xml:space="preserve"> - </w:t>
            </w:r>
            <w:r>
              <w:rPr>
                <w:color w:val="000000"/>
                <w:sz w:val="20"/>
                <w:szCs w:val="20"/>
                <w:lang w:val="en-US"/>
              </w:rPr>
              <w:t>IV</w:t>
            </w:r>
            <w:r>
              <w:rPr>
                <w:color w:val="000000"/>
                <w:sz w:val="20"/>
                <w:szCs w:val="20"/>
              </w:rPr>
              <w:t xml:space="preserve">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color w:val="000000"/>
                <w:sz w:val="20"/>
                <w:szCs w:val="20"/>
              </w:rPr>
            </w:pPr>
            <w:r>
              <w:rPr>
                <w:color w:val="000000"/>
                <w:sz w:val="20"/>
                <w:szCs w:val="20"/>
              </w:rPr>
              <w:t>ГП 24</w:t>
            </w:r>
          </w:p>
          <w:p>
            <w:pPr>
              <w:pStyle w:val="Normal"/>
              <w:widowControl w:val="false"/>
              <w:jc w:val="center"/>
              <w:rPr>
                <w:color w:val="000000"/>
                <w:sz w:val="20"/>
                <w:szCs w:val="20"/>
              </w:rPr>
            </w:pPr>
            <w:r>
              <w:rPr>
                <w:color w:val="000000"/>
                <w:sz w:val="20"/>
                <w:szCs w:val="20"/>
              </w:rPr>
              <w:t>ВЦП 4</w:t>
            </w:r>
          </w:p>
          <w:p>
            <w:pPr>
              <w:pStyle w:val="Normal"/>
              <w:widowControl w:val="false"/>
              <w:jc w:val="center"/>
              <w:rPr>
                <w:color w:val="000000"/>
                <w:sz w:val="20"/>
                <w:szCs w:val="20"/>
              </w:rPr>
            </w:pPr>
            <w:r>
              <w:rPr>
                <w:color w:val="000000"/>
                <w:sz w:val="20"/>
                <w:szCs w:val="20"/>
              </w:rPr>
              <w:t>ФП 27</w:t>
            </w:r>
          </w:p>
        </w:tc>
      </w:tr>
      <w:tr>
        <w:trPr>
          <w:trHeight w:val="272" w:hRule="atLeast"/>
        </w:trPr>
        <w:tc>
          <w:tcPr>
            <w:tcW w:w="2536" w:type="dxa"/>
            <w:tcBorders>
              <w:left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2.1.5.</w:t>
            </w:r>
            <w:r>
              <w:rPr>
                <w:color w:val="000000"/>
                <w:spacing w:val="0"/>
                <w:kern w:val="0"/>
                <w:sz w:val="20"/>
                <w:szCs w:val="20"/>
              </w:rPr>
              <w:t xml:space="preserve"> Предоставление субсидий организациям железнодорожного транспорта на компенсацию потерь в доходах от выравнивания тарифов при перевозке пассажиров из (в) Калининградской области в (из) другие регионы Российской Федерации</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И.Ю. Коваль</w:t>
            </w:r>
          </w:p>
        </w:tc>
        <w:tc>
          <w:tcPr>
            <w:tcW w:w="2426" w:type="dxa"/>
            <w:gridSpan w:val="3"/>
            <w:tcBorders>
              <w:left w:val="single" w:sz="4" w:space="0" w:color="000000"/>
              <w:right w:val="single" w:sz="4" w:space="0" w:color="000000"/>
            </w:tcBorders>
          </w:tcPr>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Результатом предоставления субсидии является обеспечение полной компенсации организациям железнодорожного транспорта потерь в доходах от выравнивания тарифов при перевозке пассажиров в сообщении из (в) Калининградской области в (из) другие регионы Российской Федерации, что</w:t>
            </w:r>
          </w:p>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позволит обеспечить географическую доступность пассажирам, связанность территорий страны, социальную защищенность населения и обеспечить транспортную подвижность населения</w:t>
            </w:r>
          </w:p>
        </w:tc>
        <w:tc>
          <w:tcPr>
            <w:tcW w:w="1842" w:type="dxa"/>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left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645"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2.1.6</w:t>
            </w:r>
            <w:r>
              <w:rPr>
                <w:color w:val="000000"/>
                <w:spacing w:val="0"/>
                <w:kern w:val="0"/>
                <w:sz w:val="20"/>
                <w:szCs w:val="20"/>
              </w:rPr>
              <w:t xml:space="preserve"> Предоставление субсидий открытому акционерному обществу «Российские железные дороги» и федеральному государственному унитарному предприятию «Крымская железная дорога» на компенсацию потерь в доходах, возникающих в результате государственного регулирования тарифов на услуги по использованию инфраструктуры железнодорожного транспорта общего пользования, оказываемые при осуществлении перевозок пассажиров в пригородном сообщении</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И.Ю. Коваль</w:t>
            </w:r>
          </w:p>
        </w:tc>
        <w:tc>
          <w:tcPr>
            <w:tcW w:w="2426"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Результатом предоставления субсидии является обеспечение полной компенсации организации потерь в доходах.</w:t>
            </w:r>
          </w:p>
          <w:p>
            <w:pPr>
              <w:pStyle w:val="Normal"/>
              <w:widowControl w:val="false"/>
              <w:suppressAutoHyphens w:val="true"/>
              <w:spacing w:lineRule="auto" w:line="240" w:before="0" w:after="0"/>
              <w:ind w:left="0" w:right="0" w:hanging="0"/>
              <w:jc w:val="both"/>
              <w:rPr>
                <w:sz w:val="20"/>
              </w:rPr>
            </w:pPr>
            <w:r>
              <w:rPr>
                <w:color w:val="000000"/>
                <w:spacing w:val="0"/>
                <w:kern w:val="0"/>
                <w:sz w:val="20"/>
                <w:szCs w:val="20"/>
              </w:rPr>
              <w:t>Стабильное функционирование пригородного комплекса и сохранение достигнутых объемов услуг по использованию инфраструктуры в пригородном сообщении. Создание условий для сокращения убыточности пригородного комплекса в период реализации программы, сокращение величины убытка ОАО «РЖД» и ФГУП «КЖД» от оказания услуг инфраструктуры общего пользования в пригородном сообщении, увеличение доли пригородных компаний с положительным финансовым результатом от перевозки пассажиров железнодорожным транспортом в пригородном сообщении</w:t>
            </w:r>
          </w:p>
          <w:p>
            <w:pPr>
              <w:pStyle w:val="Normal"/>
              <w:widowControl w:val="false"/>
              <w:suppressAutoHyphens w:val="true"/>
              <w:spacing w:lineRule="auto" w:line="240" w:before="0" w:after="0"/>
              <w:ind w:left="0" w:right="0" w:hanging="0"/>
              <w:jc w:val="both"/>
              <w:rPr>
                <w:sz w:val="20"/>
              </w:rPr>
            </w:pPr>
            <w:r>
              <w:rPr>
                <w:sz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1078"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2.1.7.</w:t>
            </w:r>
            <w:r>
              <w:rPr>
                <w:color w:val="000000"/>
                <w:spacing w:val="0"/>
                <w:kern w:val="0"/>
                <w:sz w:val="20"/>
                <w:szCs w:val="20"/>
              </w:rPr>
              <w:t xml:space="preserve"> Предоставление субсидий  организациям железнодорожного транспорта на компенсацию части потерь в доходах, возникающих в результате предоставления гражданам государственной социальной услуги в виде бесплатного проезда на железнодорожном транспорте в пригородном сообщении при условии ведения персонифицированного учета поездок</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И.Ю. Коваль</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Результатом предоставления субсидии является обеспечение полной компенсации организациям железнодорожного транспорта части потерь в доходах, возникающих в результате предоставления гражданам государственной социальной услуги в виде бесплатного проезда на железнодорожном транспорте в пригородном сообщении при условии ведения персонифицированного учета поездок.</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Реализация мер социальной поддержки отдельных категорий граждан по бесплатному проезду на железнодорожном транспорте пригородного сообщения направлена на финансово-экономическую эффективность операционной деятельности перевозчиков, что в свою очередь позволяет сохранить достигнутые объемы услуг по использованию инфраструктуры в пригородном сообщении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43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2.1.8.</w:t>
            </w:r>
            <w:r>
              <w:rPr>
                <w:color w:val="000000"/>
                <w:spacing w:val="0"/>
                <w:kern w:val="0"/>
                <w:sz w:val="20"/>
                <w:szCs w:val="20"/>
              </w:rPr>
              <w:t xml:space="preserve"> Предоставление субсидий из федерального бюджета  федеральному государственному унитарному предприятию «Крымская железная дорога»</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И.Ю. Коваль</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z w:val="20"/>
              </w:rPr>
            </w:pPr>
            <w:r>
              <w:rPr>
                <w:sz w:val="20"/>
              </w:rPr>
              <w:t>Результатом предоставления субсидии является повышение доступности услуг железнодорожного транспорта на Крымском полуострове. Оценка достижения результата предоставления субсидии осуществляется Федеральным агентством железнодорожного транспорта на основании следующих показателей:</w:t>
            </w:r>
          </w:p>
          <w:p>
            <w:pPr>
              <w:pStyle w:val="Normal"/>
              <w:widowControl w:val="false"/>
              <w:suppressAutoHyphens w:val="true"/>
              <w:spacing w:lineRule="auto" w:line="240" w:before="0" w:after="0"/>
              <w:ind w:left="0" w:right="0" w:hanging="0"/>
              <w:jc w:val="both"/>
              <w:rPr>
                <w:sz w:val="20"/>
              </w:rPr>
            </w:pPr>
            <w:r>
              <w:rPr>
                <w:sz w:val="20"/>
              </w:rPr>
              <w:t>а) объем грузовых перевозок (грузооборот) (млн. т/км);</w:t>
            </w:r>
          </w:p>
          <w:p>
            <w:pPr>
              <w:pStyle w:val="Normal"/>
              <w:widowControl w:val="false"/>
              <w:suppressAutoHyphens w:val="true"/>
              <w:spacing w:lineRule="auto" w:line="240" w:before="0" w:after="0"/>
              <w:ind w:left="0" w:right="0" w:hanging="0"/>
              <w:jc w:val="both"/>
              <w:rPr>
                <w:sz w:val="20"/>
              </w:rPr>
            </w:pPr>
            <w:r>
              <w:rPr>
                <w:sz w:val="20"/>
              </w:rPr>
              <w:t>б) объем пассажирских перевозок (пассажирооборот) (млн. пасс/км);</w:t>
            </w:r>
          </w:p>
          <w:p>
            <w:pPr>
              <w:pStyle w:val="Normal"/>
              <w:widowControl w:val="false"/>
              <w:suppressAutoHyphens w:val="true"/>
              <w:spacing w:lineRule="auto" w:line="240" w:before="0" w:after="0"/>
              <w:ind w:left="0" w:right="0" w:hanging="0"/>
              <w:jc w:val="both"/>
              <w:rPr>
                <w:sz w:val="20"/>
              </w:rPr>
            </w:pPr>
            <w:r>
              <w:rPr>
                <w:sz w:val="20"/>
              </w:rPr>
              <w:t>в) снижение показателя просроченности ремонтами инфраструктуры (процентов).</w:t>
            </w:r>
          </w:p>
          <w:p>
            <w:pPr>
              <w:pStyle w:val="Normal"/>
              <w:widowControl w:val="false"/>
              <w:suppressAutoHyphens w:val="true"/>
              <w:spacing w:lineRule="auto" w:line="240" w:before="0" w:after="0"/>
              <w:ind w:left="0" w:right="0" w:hanging="0"/>
              <w:jc w:val="both"/>
              <w:rPr>
                <w:sz w:val="20"/>
              </w:rPr>
            </w:pPr>
            <w:r>
              <w:rPr>
                <w:sz w:val="20"/>
              </w:rPr>
              <w:t>Предоставление субсидии ФГУП «Крымская железная дорога» позволит обеспечить выполнение заданного объема перевозок</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27</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2.1.9.</w:t>
            </w:r>
            <w:r>
              <w:rPr>
                <w:color w:val="000000"/>
                <w:spacing w:val="0"/>
                <w:kern w:val="0"/>
                <w:sz w:val="20"/>
                <w:szCs w:val="20"/>
              </w:rPr>
              <w:t xml:space="preserve"> Строительство железнодорожных подходов к транспортному переходу через Керченский пролив </w:t>
            </w:r>
            <w:r>
              <w:rPr>
                <w:b/>
                <w:color w:val="000000"/>
                <w:spacing w:val="0"/>
                <w:kern w:val="0"/>
                <w:sz w:val="20"/>
                <w:szCs w:val="20"/>
              </w:rPr>
              <w:t>Ответственный исполнитель:</w:t>
            </w:r>
            <w:r>
              <w:rPr>
                <w:color w:val="000000"/>
                <w:spacing w:val="0"/>
                <w:kern w:val="0"/>
                <w:sz w:val="20"/>
                <w:szCs w:val="20"/>
              </w:rPr>
              <w:t xml:space="preserve"> </w:t>
              <w:br/>
            </w:r>
            <w:r>
              <w:rPr>
                <w:sz w:val="20"/>
                <w:szCs w:val="20"/>
              </w:rPr>
              <w:t>А.О. Иванов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железнодорожной связи с Крымским полуостровом</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color w:val="000000"/>
                <w:spacing w:val="0"/>
                <w:kern w:val="0"/>
                <w:sz w:val="20"/>
                <w:szCs w:val="20"/>
              </w:rPr>
            </w:pPr>
            <w:r>
              <w:rPr>
                <w:b w:val="false"/>
                <w:color w:val="000000"/>
                <w:spacing w:val="0"/>
                <w:kern w:val="0"/>
                <w:sz w:val="20"/>
                <w:szCs w:val="20"/>
              </w:rPr>
              <w:t>Отчет о реализации ГП 45</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45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1</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2.1.10.</w:t>
            </w:r>
            <w:r>
              <w:rPr>
                <w:color w:val="000000"/>
                <w:spacing w:val="0"/>
                <w:kern w:val="0"/>
                <w:sz w:val="20"/>
                <w:szCs w:val="20"/>
              </w:rPr>
              <w:t xml:space="preserve"> Создание комплекса, оснащенного инженерно-техническими системами (средствами) обеспечения транспортной безопасности на период эксплуатации железнодорожной инфраструктуры </w:t>
            </w:r>
            <w:r>
              <w:rPr>
                <w:b/>
                <w:color w:val="000000"/>
                <w:spacing w:val="0"/>
                <w:kern w:val="0"/>
                <w:sz w:val="20"/>
                <w:szCs w:val="20"/>
              </w:rPr>
              <w:t>Ответственный исполнитель:</w:t>
            </w:r>
            <w:r>
              <w:rPr>
                <w:color w:val="000000"/>
                <w:spacing w:val="0"/>
                <w:kern w:val="0"/>
                <w:sz w:val="20"/>
                <w:szCs w:val="20"/>
              </w:rPr>
              <w:t xml:space="preserve"> </w:t>
              <w:br/>
            </w:r>
            <w:r>
              <w:rPr>
                <w:color w:val="000000"/>
                <w:spacing w:val="0"/>
                <w:kern w:val="0"/>
                <w:sz w:val="20"/>
                <w:szCs w:val="20"/>
                <w:shd w:fill="auto" w:val="clear"/>
              </w:rPr>
              <w:t>А.О. Иванов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Создан комплекс, оснащенный инженерно-техническими системами (средствами) обеспечения транспортной безопасности на период эксплуатации железнодорожной инфраструктуры</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color w:val="000000"/>
                <w:spacing w:val="0"/>
                <w:kern w:val="0"/>
                <w:sz w:val="20"/>
                <w:szCs w:val="20"/>
              </w:rPr>
            </w:pPr>
            <w:r>
              <w:rPr>
                <w:b w:val="false"/>
                <w:color w:val="000000"/>
                <w:spacing w:val="0"/>
                <w:kern w:val="0"/>
                <w:sz w:val="20"/>
                <w:szCs w:val="20"/>
              </w:rPr>
              <w:t>Отчет о реализации ГП 45</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45</w:t>
            </w:r>
          </w:p>
        </w:tc>
      </w:tr>
      <w:tr>
        <w:trPr>
          <w:trHeight w:val="272"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numPr>
                <w:ilvl w:val="0"/>
                <w:numId w:val="9"/>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2.1.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Протяженность участков трассы ВСМ Санкт-Петербург – Москва, на которых оформлена полоса отвода, км</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120</w:t>
            </w:r>
          </w:p>
        </w:tc>
        <w:tc>
          <w:tcPr>
            <w:tcW w:w="1311"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18</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shd w:fill="auto" w:val="clear"/>
              </w:rPr>
              <w:t xml:space="preserve">Мероприятие 2.1.11. </w:t>
            </w:r>
            <w:r>
              <w:rPr>
                <w:color w:val="000000"/>
                <w:spacing w:val="0"/>
                <w:kern w:val="0"/>
                <w:sz w:val="20"/>
                <w:szCs w:val="20"/>
                <w:shd w:fill="auto" w:val="clear"/>
              </w:rPr>
              <w:t>Создание основы для развития скоростного и высокоскоростного железнодорожного сообщения между крупными городами – оформление полосы отвода и завершение строительства выделенной высокоскоростной линии со специализацией под пассажирское движение Санкт-Петербург – Москва</w:t>
            </w:r>
          </w:p>
          <w:p>
            <w:pPr>
              <w:pStyle w:val="Normal"/>
              <w:widowControl w:val="false"/>
              <w:suppressAutoHyphens w:val="true"/>
              <w:spacing w:lineRule="auto" w:line="240" w:before="0" w:after="0"/>
              <w:ind w:left="0" w:right="0" w:hanging="0"/>
              <w:jc w:val="both"/>
              <w:rPr/>
            </w:pPr>
            <w:r>
              <w:rPr>
                <w:b/>
                <w:color w:val="000000"/>
                <w:spacing w:val="0"/>
                <w:kern w:val="0"/>
                <w:sz w:val="20"/>
                <w:szCs w:val="20"/>
                <w:shd w:fill="auto" w:val="clear"/>
              </w:rPr>
              <w:t>Ответственный исполнитель:</w:t>
            </w:r>
            <w:r>
              <w:rPr>
                <w:color w:val="000000"/>
                <w:spacing w:val="0"/>
                <w:kern w:val="0"/>
                <w:sz w:val="20"/>
                <w:szCs w:val="20"/>
                <w:shd w:fill="auto" w:val="clear"/>
              </w:rPr>
              <w:t xml:space="preserve"> </w:t>
              <w:br/>
              <w:t>А.А. Федорчук</w:t>
            </w:r>
          </w:p>
          <w:p>
            <w:pPr>
              <w:pStyle w:val="Normal"/>
              <w:widowControl w:val="false"/>
              <w:suppressAutoHyphens w:val="true"/>
              <w:spacing w:lineRule="auto" w:line="240" w:before="0" w:after="0"/>
              <w:ind w:left="0" w:right="0" w:hanging="0"/>
              <w:jc w:val="both"/>
              <w:rPr>
                <w:b/>
                <w:b/>
                <w:color w:val="000000"/>
                <w:spacing w:val="0"/>
                <w:kern w:val="0"/>
                <w:sz w:val="20"/>
                <w:szCs w:val="20"/>
                <w:shd w:fill="auto" w:val="clear"/>
              </w:rPr>
            </w:pPr>
            <w:r>
              <w:rPr>
                <w:b/>
                <w:color w:val="000000"/>
                <w:spacing w:val="0"/>
                <w:kern w:val="0"/>
                <w:sz w:val="20"/>
                <w:szCs w:val="20"/>
                <w:shd w:fill="auto" w:val="clear"/>
              </w:rPr>
              <w:t>Соисполнитель:</w:t>
            </w:r>
          </w:p>
          <w:p>
            <w:pPr>
              <w:pStyle w:val="Default1"/>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И.Ю. Коваль</w:t>
            </w:r>
          </w:p>
          <w:p>
            <w:pPr>
              <w:pStyle w:val="Default1"/>
              <w:widowControl w:val="false"/>
              <w:suppressAutoHyphens w:val="true"/>
              <w:spacing w:lineRule="auto" w:line="240" w:before="0" w:after="0"/>
              <w:ind w:left="0" w:right="0" w:hanging="0"/>
              <w:jc w:val="both"/>
              <w:rPr>
                <w:rFonts w:ascii="Times New Roman" w:hAnsi="Times New Roman" w:eastAsia="Tahoma" w:cs="Droid Sans Devanagari"/>
                <w:kern w:val="0"/>
                <w:sz w:val="20"/>
                <w:szCs w:val="20"/>
                <w:shd w:fill="auto" w:val="clear"/>
                <w:lang w:val="ru-RU" w:eastAsia="zh-CN" w:bidi="hi-IN"/>
              </w:rPr>
            </w:pPr>
            <w:r>
              <w:rPr>
                <w:rFonts w:eastAsia="Tahoma" w:cs="Droid Sans Devanagari"/>
                <w:kern w:val="0"/>
                <w:sz w:val="20"/>
                <w:szCs w:val="20"/>
                <w:shd w:fill="auto" w:val="clear"/>
                <w:lang w:val="ru-RU" w:eastAsia="zh-CN" w:bidi="hi-IN"/>
              </w:rPr>
            </w:r>
          </w:p>
          <w:p>
            <w:pPr>
              <w:pStyle w:val="Default1"/>
              <w:widowControl w:val="false"/>
              <w:suppressAutoHyphens w:val="true"/>
              <w:spacing w:lineRule="auto" w:line="240" w:before="0" w:after="0"/>
              <w:ind w:left="0" w:right="0" w:hanging="0"/>
              <w:jc w:val="both"/>
              <w:rPr>
                <w:rFonts w:ascii="Times New Roman" w:hAnsi="Times New Roman" w:eastAsia="Tahoma" w:cs="Droid Sans Devanagari"/>
                <w:kern w:val="0"/>
                <w:sz w:val="20"/>
                <w:szCs w:val="20"/>
                <w:shd w:fill="auto" w:val="clear"/>
                <w:lang w:val="ru-RU" w:eastAsia="zh-CN" w:bidi="hi-IN"/>
              </w:rPr>
            </w:pPr>
            <w:r>
              <w:rPr>
                <w:rFonts w:eastAsia="Tahoma" w:cs="Droid Sans Devanagari"/>
                <w:kern w:val="0"/>
                <w:sz w:val="20"/>
                <w:szCs w:val="20"/>
                <w:shd w:fill="auto" w:val="clear"/>
                <w:lang w:val="ru-RU" w:eastAsia="zh-CN" w:bidi="hi-IN"/>
              </w:rPr>
            </w:r>
          </w:p>
          <w:p>
            <w:pPr>
              <w:pStyle w:val="Default1"/>
              <w:widowControl w:val="false"/>
              <w:suppressAutoHyphens w:val="true"/>
              <w:spacing w:lineRule="auto" w:line="240" w:before="0" w:after="0"/>
              <w:ind w:left="0" w:right="0" w:hanging="0"/>
              <w:jc w:val="both"/>
              <w:rPr>
                <w:rFonts w:ascii="Times New Roman" w:hAnsi="Times New Roman" w:eastAsia="Tahoma" w:cs="Droid Sans Devanagari"/>
                <w:kern w:val="0"/>
                <w:sz w:val="20"/>
                <w:szCs w:val="20"/>
                <w:shd w:fill="auto" w:val="clear"/>
                <w:lang w:val="ru-RU" w:eastAsia="zh-CN" w:bidi="hi-IN"/>
              </w:rPr>
            </w:pPr>
            <w:r>
              <w:rPr>
                <w:rFonts w:eastAsia="Tahoma" w:cs="Droid Sans Devanagari"/>
                <w:kern w:val="0"/>
                <w:sz w:val="20"/>
                <w:szCs w:val="20"/>
                <w:shd w:fill="auto" w:val="clear"/>
                <w:lang w:val="ru-RU" w:eastAsia="zh-CN" w:bidi="hi-IN"/>
              </w:rPr>
            </w:r>
          </w:p>
          <w:p>
            <w:pPr>
              <w:pStyle w:val="Default1"/>
              <w:widowControl w:val="false"/>
              <w:suppressAutoHyphens w:val="true"/>
              <w:spacing w:lineRule="auto" w:line="240" w:before="0" w:after="0"/>
              <w:ind w:left="0" w:right="0" w:hanging="0"/>
              <w:jc w:val="both"/>
              <w:rPr>
                <w:rFonts w:ascii="Times New Roman" w:hAnsi="Times New Roman" w:eastAsia="Tahoma" w:cs="Droid Sans Devanagari"/>
                <w:kern w:val="0"/>
                <w:sz w:val="20"/>
                <w:szCs w:val="20"/>
                <w:shd w:fill="auto" w:val="clear"/>
                <w:lang w:val="ru-RU" w:eastAsia="zh-CN" w:bidi="hi-IN"/>
              </w:rPr>
            </w:pPr>
            <w:r>
              <w:rPr>
                <w:rFonts w:eastAsia="Tahoma" w:cs="Droid Sans Devanagari"/>
                <w:kern w:val="0"/>
                <w:sz w:val="20"/>
                <w:szCs w:val="20"/>
                <w:shd w:fill="auto" w:val="clear"/>
                <w:lang w:val="ru-RU" w:eastAsia="zh-CN" w:bidi="hi-IN"/>
              </w:rPr>
            </w:r>
          </w:p>
          <w:p>
            <w:pPr>
              <w:pStyle w:val="Default1"/>
              <w:widowControl w:val="false"/>
              <w:suppressAutoHyphens w:val="true"/>
              <w:spacing w:lineRule="auto" w:line="240" w:before="0" w:after="0"/>
              <w:ind w:left="0" w:right="0" w:hanging="0"/>
              <w:jc w:val="both"/>
              <w:rPr>
                <w:rFonts w:ascii="Times New Roman" w:hAnsi="Times New Roman" w:eastAsia="Tahoma" w:cs="Droid Sans Devanagari"/>
                <w:b/>
                <w:b/>
                <w:kern w:val="0"/>
                <w:sz w:val="20"/>
                <w:szCs w:val="20"/>
                <w:shd w:fill="auto" w:val="clear"/>
                <w:lang w:val="ru-RU" w:eastAsia="zh-CN" w:bidi="hi-IN"/>
              </w:rPr>
            </w:pPr>
            <w:r>
              <w:rPr>
                <w:rFonts w:eastAsia="Tahoma" w:cs="Droid Sans Devanagari"/>
                <w:b/>
                <w:kern w:val="0"/>
                <w:sz w:val="20"/>
                <w:szCs w:val="20"/>
                <w:shd w:fill="auto" w:val="clear"/>
                <w:lang w:val="ru-RU" w:eastAsia="zh-CN" w:bidi="hi-IN"/>
              </w:rPr>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rStyle w:val="85pt"/>
                <w:b w:val="false"/>
                <w:kern w:val="0"/>
                <w:sz w:val="20"/>
                <w:szCs w:val="20"/>
                <w:shd w:fill="auto" w:val="clear"/>
              </w:rPr>
              <w:t>По итогам 2027 года будут завершены строительно-монтажные работы на всей протяженности трассы Выделенной высокоскоростной железнодорожной линии со специализацией под пассажирское движение Санкт-Петербург – Москва</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rFonts w:eastAsia="Tahoma" w:cs="Droid Sans Devanagari"/>
                <w:b w:val="false"/>
                <w:b w:val="false"/>
                <w:color w:val="000000"/>
                <w:spacing w:val="0"/>
                <w:kern w:val="0"/>
                <w:sz w:val="20"/>
                <w:szCs w:val="20"/>
                <w:shd w:fill="auto" w:val="clear"/>
                <w:lang w:val="ru-RU" w:eastAsia="zh-CN" w:bidi="hi-IN"/>
              </w:rPr>
            </w:pPr>
            <w:r>
              <w:rPr>
                <w:rFonts w:eastAsia="Tahoma" w:cs="Droid Sans Devanagari"/>
                <w:b w:val="false"/>
                <w:color w:val="000000"/>
                <w:spacing w:val="0"/>
                <w:kern w:val="0"/>
                <w:sz w:val="20"/>
                <w:szCs w:val="20"/>
                <w:shd w:fill="auto" w:val="clear"/>
                <w:lang w:val="ru-RU" w:eastAsia="zh-CN" w:bidi="hi-IN"/>
              </w:rPr>
              <w:t>В соответствии с контрольными точками реализации ФП 18</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shd w:fill="auto" w:val="clear"/>
                <w:lang w:val="ru-RU" w:eastAsia="zh-CN" w:bidi="hi-IN"/>
              </w:rPr>
            </w:pPr>
            <w:r>
              <w:rPr>
                <w:rFonts w:eastAsia="Tahoma" w:cs="Droid Sans Devanagari"/>
                <w:b w:val="false"/>
                <w:color w:val="000000"/>
                <w:spacing w:val="0"/>
                <w:kern w:val="0"/>
                <w:sz w:val="20"/>
                <w:szCs w:val="20"/>
                <w:shd w:fill="auto" w:val="clear"/>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УП 1</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ОНДП</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НП 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18</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pPr>
            <w:r>
              <w:rPr>
                <w:b/>
                <w:color w:val="000000"/>
                <w:spacing w:val="0"/>
                <w:kern w:val="0"/>
                <w:sz w:val="20"/>
                <w:szCs w:val="20"/>
              </w:rPr>
              <w:t xml:space="preserve">Направление (блок мероприятий) 2.2. </w:t>
            </w:r>
            <w:r>
              <w:rPr>
                <w:b/>
                <w:spacing w:val="0"/>
                <w:kern w:val="0"/>
                <w:sz w:val="20"/>
                <w:szCs w:val="20"/>
              </w:rPr>
              <w:t>Обеспечение потребности в перевозках пассажиров воздушным транспортом</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0"/>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2.2.</w:t>
            </w:r>
          </w:p>
          <w:p>
            <w:pPr>
              <w:pStyle w:val="Normal"/>
              <w:widowControl w:val="false"/>
              <w:suppressAutoHyphens w:val="true"/>
              <w:spacing w:lineRule="auto" w:line="240" w:before="0" w:after="0"/>
              <w:ind w:left="720" w:right="0" w:hanging="0"/>
              <w:jc w:val="both"/>
              <w:rPr>
                <w:color w:val="auto"/>
                <w:spacing w:val="0"/>
                <w:kern w:val="0"/>
                <w:sz w:val="20"/>
                <w:szCs w:val="20"/>
              </w:rPr>
            </w:pPr>
            <w:r>
              <w:rPr>
                <w:color w:val="auto"/>
                <w:spacing w:val="0"/>
                <w:kern w:val="0"/>
                <w:sz w:val="20"/>
                <w:szCs w:val="20"/>
              </w:rPr>
              <w:t>Авиационная подвижность населения, полетов на 1 человека в год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color w:val="000000"/>
                <w:spacing w:val="0"/>
                <w:kern w:val="0"/>
                <w:sz w:val="20"/>
                <w:szCs w:val="20"/>
              </w:rPr>
              <w:t>0,75</w:t>
            </w:r>
            <w:r>
              <w:rPr>
                <w:rStyle w:val="Style10"/>
                <w:color w:val="000000"/>
                <w:spacing w:val="0"/>
                <w:kern w:val="0"/>
                <w:sz w:val="20"/>
                <w:szCs w:val="20"/>
              </w:rPr>
              <w:footnoteReference w:id="19"/>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0,4</w:t>
            </w:r>
            <w:r>
              <w:rPr>
                <w:rFonts w:eastAsia="Tahoma" w:cs="Droid Sans Devanagari"/>
                <w:color w:val="000000"/>
                <w:spacing w:val="0"/>
                <w:kern w:val="0"/>
                <w:sz w:val="20"/>
                <w:szCs w:val="20"/>
                <w:vertAlign w:val="superscript"/>
                <w:lang w:val="ru-RU" w:eastAsia="zh-CN" w:bidi="hi-IN"/>
              </w:rPr>
              <w:t>18</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0,57</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0,85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0,89</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0,95</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ГП </w:t>
            </w:r>
            <w:r>
              <w:rPr>
                <w:color w:val="000000"/>
                <w:spacing w:val="0"/>
                <w:kern w:val="0"/>
                <w:sz w:val="20"/>
                <w:szCs w:val="20"/>
                <w:shd w:fill="auto" w:val="clear"/>
              </w:rPr>
              <w:t>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32</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0"/>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2.2.</w:t>
            </w:r>
          </w:p>
          <w:p>
            <w:pPr>
              <w:pStyle w:val="Normal"/>
              <w:widowControl w:val="false"/>
              <w:suppressAutoHyphens w:val="true"/>
              <w:spacing w:lineRule="auto" w:line="240" w:before="0" w:after="0"/>
              <w:ind w:left="720" w:right="0" w:hanging="0"/>
              <w:jc w:val="both"/>
              <w:rPr>
                <w:color w:val="auto"/>
                <w:spacing w:val="0"/>
                <w:kern w:val="0"/>
                <w:sz w:val="20"/>
                <w:szCs w:val="20"/>
              </w:rPr>
            </w:pPr>
            <w:r>
              <w:rPr>
                <w:color w:val="auto"/>
                <w:spacing w:val="0"/>
                <w:kern w:val="0"/>
                <w:sz w:val="20"/>
                <w:szCs w:val="20"/>
              </w:rPr>
              <w:t>Объем пассажирских перевозок по маршрутам, минуя Москву, млн. пассажиров</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16,1</w:t>
            </w:r>
            <w:r>
              <w:rPr>
                <w:rFonts w:eastAsia="Tahoma" w:cs="Droid Sans Devanagari"/>
                <w:color w:val="000000"/>
                <w:spacing w:val="0"/>
                <w:kern w:val="0"/>
                <w:sz w:val="20"/>
                <w:szCs w:val="20"/>
                <w:vertAlign w:val="superscript"/>
                <w:lang w:val="ru-RU" w:eastAsia="zh-CN" w:bidi="hi-IN"/>
              </w:rPr>
              <w:t>18</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9,0</w:t>
            </w:r>
            <w:r>
              <w:rPr>
                <w:rFonts w:eastAsia="Tahoma" w:cs="Droid Sans Devanagari"/>
                <w:color w:val="000000"/>
                <w:spacing w:val="0"/>
                <w:kern w:val="0"/>
                <w:sz w:val="20"/>
                <w:szCs w:val="20"/>
                <w:vertAlign w:val="superscript"/>
                <w:lang w:val="ru-RU" w:eastAsia="zh-CN" w:bidi="hi-IN"/>
              </w:rPr>
              <w:t>18</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13,65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21,4</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23,6</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25,2</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ГП </w:t>
            </w:r>
            <w:r>
              <w:rPr>
                <w:color w:val="000000"/>
                <w:spacing w:val="0"/>
                <w:kern w:val="0"/>
                <w:sz w:val="20"/>
                <w:szCs w:val="20"/>
                <w:shd w:fill="auto" w:val="clear"/>
              </w:rPr>
              <w:t>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32</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0"/>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2.2.</w:t>
            </w:r>
          </w:p>
          <w:p>
            <w:pPr>
              <w:pStyle w:val="Normal"/>
              <w:widowControl w:val="false"/>
              <w:suppressAutoHyphens w:val="true"/>
              <w:spacing w:lineRule="auto" w:line="240" w:before="0" w:after="0"/>
              <w:ind w:left="720" w:right="0" w:hanging="0"/>
              <w:jc w:val="both"/>
              <w:rPr/>
            </w:pPr>
            <w:r>
              <w:rPr>
                <w:color w:val="auto"/>
                <w:spacing w:val="0"/>
                <w:kern w:val="0"/>
                <w:sz w:val="20"/>
                <w:szCs w:val="20"/>
              </w:rPr>
              <w:t>Количество субсидированных региональных регулярных авиационных рейсов (выполняемых не менее, чем по 175 маршрутам ВВЛ),</w:t>
            </w:r>
            <w:r>
              <w:rPr>
                <w:color w:val="000000"/>
                <w:spacing w:val="0"/>
                <w:kern w:val="0"/>
                <w:sz w:val="20"/>
                <w:szCs w:val="20"/>
              </w:rPr>
              <w:t xml:space="preserve">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42626</w:t>
            </w:r>
            <w:r>
              <w:rPr>
                <w:rFonts w:eastAsia="Tahoma" w:cs="Droid Sans Devanagari"/>
                <w:color w:val="000000"/>
                <w:spacing w:val="0"/>
                <w:kern w:val="0"/>
                <w:sz w:val="20"/>
                <w:szCs w:val="20"/>
                <w:vertAlign w:val="superscript"/>
                <w:lang w:val="ru-RU" w:eastAsia="zh-CN" w:bidi="hi-IN"/>
              </w:rPr>
              <w:t>18</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43820</w:t>
            </w:r>
            <w:r>
              <w:rPr>
                <w:rFonts w:eastAsia="Tahoma" w:cs="Droid Sans Devanagari"/>
                <w:color w:val="000000"/>
                <w:spacing w:val="0"/>
                <w:kern w:val="0"/>
                <w:sz w:val="20"/>
                <w:szCs w:val="20"/>
                <w:vertAlign w:val="superscript"/>
                <w:lang w:val="ru-RU" w:eastAsia="zh-CN" w:bidi="hi-IN"/>
              </w:rPr>
              <w:t>18</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46445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54319</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54319</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54319</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ГП </w:t>
            </w:r>
            <w:r>
              <w:rPr>
                <w:color w:val="000000"/>
                <w:spacing w:val="0"/>
                <w:kern w:val="0"/>
                <w:sz w:val="20"/>
                <w:szCs w:val="20"/>
                <w:shd w:fill="auto" w:val="clear"/>
              </w:rPr>
              <w:t>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32</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0"/>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2.2.</w:t>
            </w:r>
          </w:p>
          <w:p>
            <w:pPr>
              <w:pStyle w:val="Normal"/>
              <w:widowControl w:val="false"/>
              <w:suppressAutoHyphens w:val="true"/>
              <w:spacing w:lineRule="auto" w:line="240" w:before="0" w:after="0"/>
              <w:ind w:left="720" w:right="0" w:hanging="0"/>
              <w:jc w:val="both"/>
              <w:rPr/>
            </w:pPr>
            <w:r>
              <w:rPr>
                <w:color w:val="auto"/>
                <w:spacing w:val="0"/>
                <w:kern w:val="0"/>
                <w:sz w:val="20"/>
                <w:szCs w:val="20"/>
              </w:rPr>
              <w:t xml:space="preserve">Доля межрегиональных регулярных пассажирских авиационных рейсов (маршрутов), минуя Москву, в общем количестве внутренних регулярных маршрутов, </w:t>
            </w:r>
            <w:r>
              <w:rPr>
                <w:color w:val="000000"/>
                <w:spacing w:val="0"/>
                <w:kern w:val="0"/>
                <w:sz w:val="20"/>
                <w:szCs w:val="20"/>
              </w:rPr>
              <w:t>%</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spacing w:val="0"/>
                <w:kern w:val="0"/>
                <w:sz w:val="20"/>
                <w:szCs w:val="20"/>
              </w:rPr>
              <w:t>39</w:t>
            </w:r>
            <w:r>
              <w:rPr>
                <w:rFonts w:eastAsia="Tahoma" w:cs="Droid Sans Devanagari"/>
                <w:color w:val="000000"/>
                <w:spacing w:val="0"/>
                <w:kern w:val="0"/>
                <w:sz w:val="20"/>
                <w:szCs w:val="20"/>
                <w:vertAlign w:val="superscript"/>
                <w:lang w:val="ru-RU" w:eastAsia="zh-CN" w:bidi="hi-IN"/>
              </w:rPr>
              <w:t>18</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42</w:t>
            </w:r>
            <w:r>
              <w:rPr>
                <w:rFonts w:eastAsia="Tahoma" w:cs="Droid Sans Devanagari"/>
                <w:color w:val="000000"/>
                <w:spacing w:val="0"/>
                <w:kern w:val="0"/>
                <w:sz w:val="20"/>
                <w:szCs w:val="20"/>
                <w:vertAlign w:val="superscript"/>
                <w:lang w:val="ru-RU" w:eastAsia="zh-CN" w:bidi="hi-IN"/>
              </w:rPr>
              <w:t>18</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44</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46,5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48,9</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51,35</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ГП </w:t>
            </w:r>
            <w:r>
              <w:rPr>
                <w:color w:val="000000"/>
                <w:spacing w:val="0"/>
                <w:kern w:val="0"/>
                <w:sz w:val="20"/>
                <w:szCs w:val="20"/>
                <w:shd w:fill="auto" w:val="clear"/>
              </w:rPr>
              <w:t>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32</w:t>
            </w:r>
          </w:p>
        </w:tc>
      </w:tr>
      <w:tr>
        <w:trPr>
          <w:trHeight w:val="1354"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2.2.1.</w:t>
            </w:r>
            <w:r>
              <w:rPr>
                <w:color w:val="000000"/>
                <w:spacing w:val="0"/>
                <w:kern w:val="0"/>
                <w:sz w:val="20"/>
                <w:szCs w:val="20"/>
              </w:rPr>
              <w:t xml:space="preserve"> Реализация Программы субсидирования перевозок в целях обеспечения доступности воздушных перевозок населению</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С.А. Петрова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Нерадько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Обеспечение доступности воздушных перевозок пассажиров:</w:t>
            </w:r>
          </w:p>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 xml:space="preserve">- с Дальнего Востока и </w:t>
              <w:br/>
              <w:t>г. Калининграда в европейскую часть страны и в обратном направлении;</w:t>
            </w:r>
          </w:p>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 в г. Симферополь и в обратном направлении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color w:val="000000"/>
                <w:spacing w:val="0"/>
                <w:kern w:val="0"/>
                <w:sz w:val="20"/>
                <w:szCs w:val="20"/>
              </w:rPr>
            </w:pPr>
            <w:r>
              <w:rPr>
                <w:b w:val="false"/>
                <w:color w:val="000000"/>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ГП </w:t>
            </w:r>
            <w:r>
              <w:rPr>
                <w:color w:val="000000"/>
                <w:spacing w:val="0"/>
                <w:kern w:val="0"/>
                <w:sz w:val="20"/>
                <w:szCs w:val="20"/>
                <w:shd w:fill="auto" w:val="clear"/>
              </w:rPr>
              <w:t>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32</w:t>
            </w:r>
          </w:p>
        </w:tc>
      </w:tr>
      <w:tr>
        <w:trPr>
          <w:trHeight w:val="1354"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2.2.2.</w:t>
            </w:r>
            <w:r>
              <w:rPr>
                <w:color w:val="000000"/>
                <w:spacing w:val="0"/>
                <w:kern w:val="0"/>
                <w:sz w:val="20"/>
                <w:szCs w:val="20"/>
              </w:rPr>
              <w:t xml:space="preserve"> Реализация Программы субсидирования региональных воздушных перевозок пассажиров на территории Российской Федерации и формирование региональной маршрутной сети</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С.А. Петрова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Нерадько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Обеспечение развития региональных воздушных перевозок на территории Российской Федерации и формирования региональной маршрутной сети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 xml:space="preserve">Отчет о реализации ГП </w:t>
            </w:r>
            <w:r>
              <w:rPr>
                <w:b w:val="false"/>
                <w:color w:val="000000"/>
                <w:spacing w:val="0"/>
                <w:kern w:val="0"/>
                <w:sz w:val="20"/>
                <w:szCs w:val="20"/>
                <w:shd w:fill="auto" w:val="clear"/>
              </w:rPr>
              <w:t>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ГП</w:t>
            </w:r>
            <w:r>
              <w:rPr>
                <w:color w:val="000000"/>
                <w:spacing w:val="0"/>
                <w:kern w:val="0"/>
                <w:sz w:val="20"/>
                <w:szCs w:val="20"/>
                <w:shd w:fill="auto" w:val="clear"/>
              </w:rPr>
              <w:t xml:space="preserve">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32</w:t>
            </w:r>
          </w:p>
        </w:tc>
      </w:tr>
      <w:tr>
        <w:trPr>
          <w:trHeight w:val="2509"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2.2.3.</w:t>
            </w:r>
            <w:r>
              <w:rPr>
                <w:color w:val="000000"/>
                <w:spacing w:val="0"/>
                <w:kern w:val="0"/>
                <w:sz w:val="20"/>
                <w:szCs w:val="20"/>
              </w:rPr>
              <w:t xml:space="preserve"> Реализация мер государственной поддержки аэропортам, расположенным в районах Крайнего Севера и приравненных к ним местностях</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С.А. Петрова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А</w:t>
            </w:r>
            <w:r>
              <w:rPr>
                <w:b w:val="false"/>
                <w:bCs w:val="false"/>
                <w:color w:val="000000"/>
                <w:spacing w:val="0"/>
                <w:kern w:val="0"/>
                <w:sz w:val="20"/>
                <w:szCs w:val="20"/>
              </w:rPr>
              <w:t>.В. Нерадько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Обеспечение функционирования аэропортов, расположенных в районах Крайнего Севера и приравненных к ним местностях, не включенных в состав федеральных казенных предприятий</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 xml:space="preserve">Отчет о реализации </w:t>
            </w:r>
            <w:r>
              <w:rPr>
                <w:b w:val="false"/>
                <w:color w:val="000000"/>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32</w:t>
            </w:r>
          </w:p>
        </w:tc>
      </w:tr>
      <w:tr>
        <w:trPr>
          <w:trHeight w:val="645"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2.2.4.</w:t>
            </w:r>
            <w:r>
              <w:rPr>
                <w:color w:val="000000"/>
                <w:spacing w:val="0"/>
                <w:kern w:val="0"/>
                <w:sz w:val="20"/>
                <w:szCs w:val="20"/>
              </w:rPr>
              <w:t xml:space="preserve"> Реализация мер государственной поддержки федеральным казенным предприятиям, расположенным в районах Крайнего Севера и приравненных к ним местностях</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С.А. Петрова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А.В. Нерадько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Default1"/>
              <w:widowControl w:val="false"/>
              <w:suppressAutoHyphens w:val="true"/>
              <w:spacing w:lineRule="auto" w:line="240" w:before="0" w:after="0"/>
              <w:ind w:left="0" w:right="0" w:hanging="0"/>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Обеспечение функционирования аэропортов и посадочных площадок, расположенных в районах Арктики, Дальнего Востока, Крайнего Севера и приравненных к ним местностях, входящих в состав федеральных казенных предприятий</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 xml:space="preserve">Отчет о реализации </w:t>
            </w:r>
            <w:r>
              <w:rPr>
                <w:b w:val="false"/>
                <w:color w:val="000000"/>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32</w:t>
            </w:r>
          </w:p>
        </w:tc>
      </w:tr>
      <w:tr>
        <w:trPr>
          <w:trHeight w:val="1088"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0"/>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2.2.</w:t>
            </w:r>
          </w:p>
          <w:p>
            <w:pPr>
              <w:pStyle w:val="Normal"/>
              <w:widowControl w:val="false"/>
              <w:suppressAutoHyphens w:val="true"/>
              <w:spacing w:lineRule="auto" w:line="240" w:before="0" w:after="0"/>
              <w:ind w:left="743" w:right="0" w:hanging="0"/>
              <w:jc w:val="both"/>
              <w:rPr>
                <w:color w:val="000000"/>
                <w:spacing w:val="0"/>
                <w:kern w:val="0"/>
                <w:sz w:val="20"/>
                <w:szCs w:val="20"/>
              </w:rPr>
            </w:pPr>
            <w:r>
              <w:rPr>
                <w:color w:val="000000"/>
                <w:spacing w:val="0"/>
                <w:kern w:val="0"/>
                <w:sz w:val="20"/>
                <w:szCs w:val="20"/>
              </w:rPr>
              <w:t>Количество введенных в эксплуатацию после реконструкции (строительства) взлетно-посадочных полос,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2</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7</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4</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9</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20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7</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17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31</w:t>
            </w:r>
          </w:p>
        </w:tc>
      </w:tr>
      <w:tr>
        <w:trPr>
          <w:trHeight w:val="977"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0"/>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2.2.</w:t>
            </w:r>
          </w:p>
          <w:p>
            <w:pPr>
              <w:pStyle w:val="Normal"/>
              <w:widowControl w:val="false"/>
              <w:suppressAutoHyphens w:val="true"/>
              <w:spacing w:lineRule="auto" w:line="240" w:before="0" w:after="0"/>
              <w:ind w:left="743" w:right="0" w:hanging="0"/>
              <w:jc w:val="both"/>
              <w:rPr>
                <w:color w:val="000000"/>
                <w:spacing w:val="0"/>
                <w:kern w:val="0"/>
                <w:sz w:val="20"/>
                <w:szCs w:val="20"/>
              </w:rPr>
            </w:pPr>
            <w:r>
              <w:rPr>
                <w:color w:val="000000"/>
                <w:spacing w:val="0"/>
                <w:kern w:val="0"/>
                <w:sz w:val="20"/>
                <w:szCs w:val="20"/>
              </w:rPr>
              <w:t>Количество реконструированных (построенных) вспомогательных объектов аэропортовой инфраструктуры,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2</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3</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4</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13</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4</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7</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17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31</w:t>
            </w:r>
          </w:p>
        </w:tc>
      </w:tr>
      <w:tr>
        <w:trPr>
          <w:trHeight w:val="1779"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2.2.5. </w:t>
            </w:r>
            <w:r>
              <w:rPr>
                <w:color w:val="000000"/>
                <w:spacing w:val="0"/>
                <w:kern w:val="0"/>
                <w:sz w:val="20"/>
                <w:szCs w:val="20"/>
              </w:rPr>
              <w:t>Реализация инвестиционных проектов по развитию инфраструктуры аэропортов</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С.А. Петрова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А.В. Нерадько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 xml:space="preserve">Реализованы запланированные мероприятия </w:t>
            </w:r>
            <w:r>
              <w:rPr>
                <w:color w:val="000000"/>
                <w:spacing w:val="0"/>
                <w:kern w:val="0"/>
                <w:sz w:val="20"/>
                <w:szCs w:val="20"/>
              </w:rPr>
              <w:t>по развитию инфраструктуры аэропортов</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both"/>
              <w:rPr/>
            </w:pPr>
            <w:r>
              <w:rPr>
                <w:rFonts w:eastAsia="Tahoma" w:cs="Droid Sans Devanagari"/>
                <w:b w:val="false"/>
                <w:color w:val="000000"/>
                <w:spacing w:val="0"/>
                <w:kern w:val="0"/>
                <w:sz w:val="20"/>
                <w:szCs w:val="20"/>
                <w:lang w:val="ru-RU" w:eastAsia="zh-CN" w:bidi="hi-IN"/>
              </w:rPr>
              <w:t xml:space="preserve">В соответствии с контрольными точками реализации ФП 7, </w:t>
            </w:r>
            <w:r>
              <w:rPr>
                <w:rFonts w:eastAsia="Tahoma" w:cs="Droid Sans Devanagari"/>
                <w:b w:val="false"/>
                <w:color w:val="000000"/>
                <w:spacing w:val="0"/>
                <w:kern w:val="0"/>
                <w:sz w:val="20"/>
                <w:szCs w:val="20"/>
                <w:shd w:fill="auto" w:val="clear"/>
                <w:lang w:val="ru-RU" w:eastAsia="zh-CN" w:bidi="hi-IN"/>
              </w:rPr>
              <w:t xml:space="preserve">ФП 17, </w:t>
            </w:r>
            <w:r>
              <w:rPr>
                <w:rFonts w:eastAsia="Tahoma" w:cs="Droid Sans Devanagari"/>
                <w:b w:val="false"/>
                <w:color w:val="000000"/>
                <w:spacing w:val="0"/>
                <w:kern w:val="0"/>
                <w:sz w:val="20"/>
                <w:szCs w:val="20"/>
                <w:lang w:val="ru-RU" w:eastAsia="zh-CN" w:bidi="hi-IN"/>
              </w:rPr>
              <w:t>ВП 2</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ГП 24</w:t>
            </w:r>
          </w:p>
          <w:p>
            <w:pPr>
              <w:pStyle w:val="Normal"/>
              <w:widowControl w:val="false"/>
              <w:jc w:val="center"/>
              <w:rPr>
                <w:sz w:val="20"/>
                <w:szCs w:val="20"/>
              </w:rPr>
            </w:pPr>
            <w:r>
              <w:rPr>
                <w:sz w:val="20"/>
                <w:szCs w:val="20"/>
              </w:rPr>
              <w:t>НП 1</w:t>
            </w:r>
          </w:p>
          <w:p>
            <w:pPr>
              <w:pStyle w:val="Normal"/>
              <w:widowControl w:val="false"/>
              <w:jc w:val="center"/>
              <w:rPr>
                <w:color w:val="000000"/>
                <w:spacing w:val="0"/>
                <w:kern w:val="0"/>
                <w:sz w:val="20"/>
                <w:szCs w:val="20"/>
                <w:shd w:fill="auto" w:val="clear"/>
              </w:rPr>
            </w:pPr>
            <w:r>
              <w:rPr>
                <w:color w:val="000000"/>
                <w:spacing w:val="0"/>
                <w:kern w:val="0"/>
                <w:sz w:val="20"/>
                <w:szCs w:val="20"/>
                <w:shd w:fill="auto" w:val="clear"/>
              </w:rPr>
              <w:t>НП 3</w:t>
            </w:r>
          </w:p>
          <w:p>
            <w:pPr>
              <w:pStyle w:val="Normal"/>
              <w:widowControl w:val="false"/>
              <w:jc w:val="center"/>
              <w:rPr>
                <w:sz w:val="20"/>
                <w:szCs w:val="20"/>
              </w:rPr>
            </w:pPr>
            <w:r>
              <w:rPr>
                <w:sz w:val="20"/>
                <w:szCs w:val="20"/>
              </w:rPr>
              <w:t>ФП 7</w:t>
            </w:r>
          </w:p>
          <w:p>
            <w:pPr>
              <w:pStyle w:val="Normal"/>
              <w:widowControl w:val="false"/>
              <w:jc w:val="center"/>
              <w:rPr>
                <w:color w:val="000000"/>
                <w:spacing w:val="0"/>
                <w:kern w:val="0"/>
                <w:sz w:val="20"/>
                <w:szCs w:val="20"/>
                <w:shd w:fill="auto" w:val="clear"/>
              </w:rPr>
            </w:pPr>
            <w:r>
              <w:rPr>
                <w:color w:val="000000"/>
                <w:spacing w:val="0"/>
                <w:kern w:val="0"/>
                <w:sz w:val="20"/>
                <w:szCs w:val="20"/>
                <w:shd w:fill="auto" w:val="clear"/>
              </w:rPr>
              <w:t>ФП 17</w:t>
            </w:r>
          </w:p>
          <w:p>
            <w:pPr>
              <w:pStyle w:val="Normal"/>
              <w:widowControl w:val="false"/>
              <w:jc w:val="center"/>
              <w:rPr>
                <w:sz w:val="20"/>
                <w:szCs w:val="20"/>
              </w:rPr>
            </w:pPr>
            <w:r>
              <w:rPr>
                <w:sz w:val="20"/>
                <w:szCs w:val="20"/>
              </w:rPr>
              <w:t>ВП 2</w:t>
            </w:r>
          </w:p>
          <w:p>
            <w:pPr>
              <w:pStyle w:val="Normal"/>
              <w:widowControl w:val="false"/>
              <w:jc w:val="center"/>
              <w:rPr>
                <w:sz w:val="20"/>
                <w:szCs w:val="20"/>
              </w:rPr>
            </w:pPr>
            <w:r>
              <w:rPr>
                <w:sz w:val="20"/>
                <w:szCs w:val="20"/>
              </w:rPr>
              <w:t>ФП 31</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pPr>
            <w:r>
              <w:rPr>
                <w:b/>
                <w:color w:val="000000"/>
                <w:spacing w:val="0"/>
                <w:kern w:val="0"/>
                <w:sz w:val="20"/>
                <w:szCs w:val="20"/>
              </w:rPr>
              <w:t xml:space="preserve">Направление (блок мероприятий) 2.3. </w:t>
            </w:r>
            <w:r>
              <w:rPr>
                <w:b/>
                <w:spacing w:val="0"/>
                <w:kern w:val="0"/>
                <w:sz w:val="20"/>
                <w:szCs w:val="20"/>
              </w:rPr>
              <w:t>Организация транспортного сообщения с Республикой Крым и городом федерального значения Севастополем</w:t>
            </w:r>
          </w:p>
        </w:tc>
      </w:tr>
      <w:tr>
        <w:trPr>
          <w:trHeight w:val="457"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1"/>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2.3.</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 xml:space="preserve">Обеспечение возможности перевозки пассажиров в прямом смешанном сообщении на территорию Республики Крым и города федерального значения Севастополя </w:t>
              <w:br/>
              <w:t>и в обратном направлении, тыс. чел.</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360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2.3.1.</w:t>
            </w:r>
            <w:r>
              <w:rPr>
                <w:color w:val="000000"/>
                <w:spacing w:val="0"/>
                <w:kern w:val="0"/>
                <w:sz w:val="20"/>
                <w:szCs w:val="20"/>
              </w:rPr>
              <w:t xml:space="preserve"> Реализация мер государственной поддержки перевозок пассажиров в прямом смешанном сообщении на территорию Республики Крым и города федерального значения Севастополя и в обратном направлении </w:t>
            </w:r>
            <w:r>
              <w:rPr>
                <w:b/>
                <w:color w:val="000000"/>
                <w:spacing w:val="0"/>
                <w:kern w:val="0"/>
                <w:sz w:val="20"/>
                <w:szCs w:val="20"/>
              </w:rPr>
              <w:t>Ответственный исполнитель:</w:t>
            </w:r>
            <w:r>
              <w:rPr>
                <w:color w:val="000000"/>
                <w:spacing w:val="0"/>
                <w:kern w:val="0"/>
                <w:sz w:val="20"/>
                <w:szCs w:val="20"/>
              </w:rPr>
              <w:t xml:space="preserve"> </w:t>
              <w:br/>
              <w:t>А.С. Бакирей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jc w:val="left"/>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Ю.А. Самойлова</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Обеспечена возможность перевозки пассажиров в прямом смешанном сообщении на территорию Республики Крым и города федерального значения Севастополя и в обратном направлении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4" w:right="0" w:hanging="0"/>
              <w:jc w:val="both"/>
              <w:rPr/>
            </w:pPr>
            <w:r>
              <w:rPr>
                <w:b w:val="false"/>
                <w:spacing w:val="0"/>
                <w:kern w:val="0"/>
                <w:sz w:val="20"/>
                <w:szCs w:val="20"/>
              </w:rPr>
              <w:t xml:space="preserve">Отчет о реализации </w:t>
            </w:r>
            <w:r>
              <w:rPr>
                <w:b w:val="false"/>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spacing w:val="0"/>
                <w:kern w:val="0"/>
                <w:sz w:val="20"/>
                <w:szCs w:val="20"/>
              </w:rPr>
              <w:t>Процессны</w:t>
            </w:r>
            <w:r>
              <w:rPr>
                <w:color w:val="000000"/>
                <w:spacing w:val="0"/>
                <w:kern w:val="0"/>
                <w:sz w:val="20"/>
                <w:szCs w:val="20"/>
              </w:rPr>
              <w:t>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II-III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pPr>
            <w:r>
              <w:rPr>
                <w:b/>
                <w:color w:val="000000"/>
                <w:spacing w:val="0"/>
                <w:kern w:val="0"/>
                <w:sz w:val="20"/>
                <w:szCs w:val="20"/>
              </w:rPr>
              <w:t xml:space="preserve">Направление (блок мероприятий) 2.4. </w:t>
            </w:r>
            <w:r>
              <w:rPr>
                <w:b/>
                <w:spacing w:val="0"/>
                <w:kern w:val="0"/>
                <w:sz w:val="20"/>
                <w:szCs w:val="20"/>
              </w:rPr>
              <w:t xml:space="preserve">Обеспечение возможности перевозки пассажиров в прямом смешанном сообщении на территориях субъектов </w:t>
              <w:br/>
              <w:t>Российской Федерации</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2"/>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2.4.</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 xml:space="preserve">Обеспечение возможности перевозки пассажиров в прямом смешанном сообщении </w:t>
              <w:br/>
              <w:t>на территориях субъектов Российской Федерации, количество маршрутов</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w:t>
            </w:r>
            <w:r>
              <w:rPr>
                <w:rFonts w:eastAsia="Tahoma" w:cs="Droid Sans Devanagari"/>
                <w:color w:val="000000"/>
                <w:spacing w:val="0"/>
                <w:kern w:val="0"/>
                <w:sz w:val="20"/>
                <w:szCs w:val="20"/>
                <w:lang w:val="ru-RU" w:eastAsia="zh-CN" w:bidi="hi-IN"/>
              </w:rPr>
              <w:t>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w:t>
            </w:r>
            <w:r>
              <w:rPr>
                <w:rFonts w:eastAsia="Tahoma" w:cs="Droid Sans Devanagari"/>
                <w:color w:val="000000"/>
                <w:spacing w:val="0"/>
                <w:kern w:val="0"/>
                <w:sz w:val="20"/>
                <w:szCs w:val="20"/>
                <w:lang w:val="ru-RU" w:eastAsia="zh-CN" w:bidi="hi-IN"/>
              </w:rPr>
              <w:t>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25</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КМП 4</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2.4.1.</w:t>
            </w:r>
            <w:r>
              <w:rPr>
                <w:color w:val="000000"/>
                <w:spacing w:val="0"/>
                <w:kern w:val="0"/>
                <w:sz w:val="20"/>
                <w:szCs w:val="20"/>
              </w:rPr>
              <w:t xml:space="preserve"> Реализация мер государственной поддержки на организацию перевозок пассажиров в прямом смешанном сообщении на территориях субъектов Российской Федерации </w:t>
            </w:r>
            <w:r>
              <w:rPr>
                <w:b/>
                <w:color w:val="000000"/>
                <w:spacing w:val="0"/>
                <w:kern w:val="0"/>
                <w:sz w:val="20"/>
                <w:szCs w:val="20"/>
              </w:rPr>
              <w:t>Ответственный исполнитель:</w:t>
            </w:r>
            <w:r>
              <w:rPr>
                <w:color w:val="000000"/>
                <w:spacing w:val="0"/>
                <w:kern w:val="0"/>
                <w:sz w:val="20"/>
                <w:szCs w:val="20"/>
              </w:rPr>
              <w:t xml:space="preserve"> </w:t>
              <w:br/>
              <w:t>А.С. Бакирей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К.С. Угаров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Обеспечена возможность перевозки пассажиров в прямом смешанном сообщении на территориях субъектов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4"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spacing w:val="0"/>
                <w:kern w:val="0"/>
                <w:sz w:val="20"/>
                <w:szCs w:val="20"/>
              </w:rPr>
              <w:t>Процессны</w:t>
            </w:r>
            <w:r>
              <w:rPr>
                <w:color w:val="000000"/>
                <w:spacing w:val="0"/>
                <w:kern w:val="0"/>
                <w:sz w:val="20"/>
                <w:szCs w:val="20"/>
              </w:rPr>
              <w:t>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КМП 4</w:t>
            </w:r>
          </w:p>
        </w:tc>
      </w:tr>
      <w:tr>
        <w:trPr>
          <w:trHeight w:val="936"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z w:val="20"/>
              </w:rPr>
            </w:pPr>
            <w:r>
              <w:rPr>
                <w:b/>
                <w:color w:val="000000"/>
                <w:spacing w:val="0"/>
                <w:kern w:val="0"/>
                <w:sz w:val="20"/>
                <w:szCs w:val="20"/>
              </w:rPr>
              <w:t>Цель 3. Повышение конкурентоспособности транспортной системы России на мировом рынке транспортных услуг и рост экспорта услуг транспортного комплекса до 20,5 млрд. долларов США</w:t>
            </w:r>
            <w:r>
              <w:rPr>
                <w:rStyle w:val="Style10"/>
                <w:b/>
                <w:color w:val="000000"/>
                <w:spacing w:val="0"/>
                <w:kern w:val="0"/>
                <w:sz w:val="20"/>
                <w:szCs w:val="20"/>
              </w:rPr>
              <w:footnoteReference w:id="20"/>
            </w:r>
            <w:r>
              <w:rPr>
                <w:b/>
                <w:color w:val="000000"/>
                <w:spacing w:val="0"/>
                <w:kern w:val="0"/>
                <w:sz w:val="20"/>
                <w:szCs w:val="20"/>
              </w:rPr>
              <w:t>.</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Ответственные исполнители: первый заместитель Министра транспорта Российской Федерации А.А. Костюк,</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А.И. Пошивай</w:t>
            </w:r>
          </w:p>
        </w:tc>
      </w:tr>
      <w:tr>
        <w:trPr>
          <w:trHeight w:val="477"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3.1. Повышение конкурентоспособности международных транспортных коридоров и комплексное развитие крупных транспортных узлов</w:t>
            </w:r>
          </w:p>
        </w:tc>
      </w:tr>
      <w:tr>
        <w:trPr>
          <w:trHeight w:val="725"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3"/>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Введено станций Глобальной морской системы связи при бедствии</w:t>
              <w:br/>
              <w:t>и для обеспечения безопасности,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tc>
      </w:tr>
      <w:tr>
        <w:trPr>
          <w:trHeight w:val="725"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spacing w:val="0"/>
                <w:kern w:val="0"/>
                <w:sz w:val="20"/>
                <w:szCs w:val="20"/>
              </w:rPr>
              <w:t xml:space="preserve">Мероприятие 3.1.1. </w:t>
            </w:r>
            <w:r>
              <w:rPr>
                <w:color w:val="000000"/>
                <w:spacing w:val="0"/>
                <w:kern w:val="0"/>
                <w:sz w:val="20"/>
                <w:szCs w:val="20"/>
              </w:rPr>
              <w:t xml:space="preserve">Строительство объектов Глобальной морской системы связи при бедствии и для обеспечения безопасности </w:t>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Созданы условия для повышения эффективности функционирования и увеличения объема перевозок грузов по Северному морскому пути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b w:val="false"/>
                <w:b w:val="false"/>
                <w:color w:val="000000"/>
                <w:spacing w:val="0"/>
                <w:kern w:val="0"/>
                <w:sz w:val="20"/>
                <w:szCs w:val="20"/>
              </w:rPr>
            </w:pPr>
            <w:r>
              <w:rPr>
                <w:b w:val="false"/>
                <w:color w:val="000000"/>
                <w:spacing w:val="0"/>
                <w:kern w:val="0"/>
                <w:sz w:val="20"/>
                <w:szCs w:val="20"/>
              </w:rPr>
              <w:t>В соответствии с контрольными точками реализации ФП 3, ФП 15, ФП 33</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III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tc>
      </w:tr>
      <w:tr>
        <w:trPr>
          <w:trHeight w:val="327"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3"/>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3.1.</w:t>
            </w:r>
          </w:p>
          <w:p>
            <w:pPr>
              <w:pStyle w:val="Normal"/>
              <w:widowControl w:val="false"/>
              <w:suppressAutoHyphens w:val="true"/>
              <w:spacing w:lineRule="auto" w:line="240" w:before="0" w:after="0"/>
              <w:ind w:left="720" w:right="0" w:hanging="0"/>
              <w:jc w:val="left"/>
              <w:rPr>
                <w:color w:val="000000"/>
                <w:spacing w:val="0"/>
                <w:kern w:val="0"/>
                <w:sz w:val="20"/>
                <w:szCs w:val="20"/>
              </w:rPr>
            </w:pPr>
            <w:r>
              <w:rPr>
                <w:color w:val="000000"/>
                <w:spacing w:val="0"/>
                <w:kern w:val="0"/>
                <w:sz w:val="20"/>
                <w:szCs w:val="20"/>
              </w:rPr>
              <w:t>Пополнение флота,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tc>
      </w:tr>
      <w:tr>
        <w:trPr>
          <w:trHeight w:val="327"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spacing w:val="0"/>
                <w:kern w:val="0"/>
                <w:sz w:val="20"/>
                <w:szCs w:val="20"/>
              </w:rPr>
              <w:t xml:space="preserve">Мероприятие 3.1.2. </w:t>
            </w:r>
            <w:r>
              <w:rPr>
                <w:color w:val="000000"/>
                <w:spacing w:val="0"/>
                <w:kern w:val="0"/>
                <w:sz w:val="20"/>
                <w:szCs w:val="20"/>
              </w:rPr>
              <w:t xml:space="preserve">Строительство лоцмейстерских судов </w:t>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З.Т. Джиоев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Обеспечена возможность выполнения мероприятий по обследованию высокоширотной трассы Северного морского пути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b w:val="false"/>
                <w:b w:val="false"/>
                <w:color w:val="000000"/>
                <w:spacing w:val="0"/>
                <w:kern w:val="0"/>
                <w:sz w:val="20"/>
                <w:szCs w:val="20"/>
              </w:rPr>
            </w:pPr>
            <w:r>
              <w:rPr>
                <w:b w:val="false"/>
                <w:color w:val="000000"/>
                <w:spacing w:val="0"/>
                <w:kern w:val="0"/>
                <w:sz w:val="20"/>
                <w:szCs w:val="20"/>
              </w:rPr>
              <w:t>В соответствии с контрольными точками реализации ФП 3, ФП 15, ФП 33</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tc>
      </w:tr>
      <w:tr>
        <w:trPr>
          <w:trHeight w:val="503"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3"/>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3.1.</w:t>
            </w:r>
          </w:p>
          <w:p>
            <w:pPr>
              <w:pStyle w:val="Normal"/>
              <w:widowControl w:val="false"/>
              <w:suppressAutoHyphens w:val="true"/>
              <w:spacing w:lineRule="auto" w:line="240" w:before="0" w:after="0"/>
              <w:ind w:left="720" w:right="0" w:hanging="0"/>
              <w:jc w:val="both"/>
              <w:rPr/>
            </w:pPr>
            <w:r>
              <w:rPr>
                <w:color w:val="auto"/>
                <w:spacing w:val="0"/>
                <w:kern w:val="0"/>
                <w:sz w:val="20"/>
                <w:szCs w:val="20"/>
              </w:rPr>
              <w:t>Пополнение аварийно-спасательного флота</w:t>
            </w:r>
            <w:r>
              <w:rPr>
                <w:color w:val="000000"/>
                <w:spacing w:val="0"/>
                <w:kern w:val="0"/>
                <w:sz w:val="20"/>
                <w:szCs w:val="20"/>
              </w:rPr>
              <w:t>,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tc>
      </w:tr>
      <w:tr>
        <w:trPr>
          <w:trHeight w:val="2327"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spacing w:val="0"/>
                <w:kern w:val="0"/>
                <w:sz w:val="20"/>
                <w:szCs w:val="20"/>
              </w:rPr>
              <w:t xml:space="preserve">Мероприятие 3.1.3. </w:t>
            </w:r>
            <w:r>
              <w:rPr>
                <w:color w:val="000000"/>
                <w:spacing w:val="0"/>
                <w:kern w:val="0"/>
                <w:sz w:val="20"/>
                <w:szCs w:val="20"/>
              </w:rPr>
              <w:t xml:space="preserve">Строительство многофункциональных аварийно-спасательных судов ледового класса </w:t>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Обеспечено соблюдение требований Международной конвенции по поиску и спасанию на море с учетом растущего объема перевозок грузов по акватории Северного морского пути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b w:val="false"/>
                <w:b w:val="false"/>
                <w:color w:val="000000"/>
                <w:spacing w:val="0"/>
                <w:kern w:val="0"/>
                <w:sz w:val="20"/>
                <w:szCs w:val="20"/>
              </w:rPr>
            </w:pPr>
            <w:r>
              <w:rPr>
                <w:b w:val="false"/>
                <w:color w:val="000000"/>
                <w:spacing w:val="0"/>
                <w:kern w:val="0"/>
                <w:sz w:val="20"/>
                <w:szCs w:val="20"/>
              </w:rPr>
              <w:t>В соответствии с контрольными точками реализации ФП 3, ФП 15, ФП 33</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tc>
      </w:tr>
      <w:tr>
        <w:trPr>
          <w:trHeight w:val="184"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3.2. Развитие инфраструктуры морского транспорта</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4"/>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3.2.</w:t>
            </w:r>
          </w:p>
          <w:p>
            <w:pPr>
              <w:pStyle w:val="Default1"/>
              <w:widowControl w:val="false"/>
              <w:suppressAutoHyphens w:val="true"/>
              <w:spacing w:lineRule="auto" w:line="240" w:before="0" w:after="0"/>
              <w:ind w:left="0" w:right="0" w:firstLine="743"/>
              <w:jc w:val="both"/>
              <w:rPr>
                <w:rFonts w:eastAsia="Tahoma" w:cs="Droid Sans Devanagari"/>
                <w:spacing w:val="0"/>
                <w:kern w:val="0"/>
                <w:sz w:val="20"/>
                <w:szCs w:val="20"/>
                <w:lang w:val="ru-RU" w:eastAsia="zh-CN" w:bidi="hi-IN"/>
              </w:rPr>
            </w:pPr>
            <w:r>
              <w:rPr>
                <w:rFonts w:eastAsia="Tahoma" w:cs="Droid Sans Devanagari"/>
                <w:spacing w:val="0"/>
                <w:kern w:val="0"/>
                <w:sz w:val="20"/>
                <w:szCs w:val="20"/>
                <w:lang w:val="ru-RU" w:eastAsia="zh-CN" w:bidi="hi-IN"/>
              </w:rPr>
              <w:t>Прирост производственной мощности морских портов, млн. тонн</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25,95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27,0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40,3</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43,99</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63,11</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63,85</w:t>
            </w:r>
          </w:p>
        </w:tc>
        <w:tc>
          <w:tcPr>
            <w:tcW w:w="1311"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3.2.1. </w:t>
            </w:r>
            <w:r>
              <w:rPr>
                <w:color w:val="000000"/>
                <w:spacing w:val="0"/>
                <w:kern w:val="0"/>
                <w:sz w:val="20"/>
                <w:szCs w:val="20"/>
              </w:rPr>
              <w:t>Реализация инвестиционных проектов по развитию морских российских портов</w:t>
            </w:r>
          </w:p>
          <w:p>
            <w:pPr>
              <w:pStyle w:val="Normal"/>
              <w:widowControl w:val="false"/>
              <w:suppressAutoHyphens w:val="true"/>
              <w:spacing w:lineRule="auto" w:line="240" w:before="0" w:after="0"/>
              <w:ind w:left="0" w:right="0" w:hanging="0"/>
              <w:jc w:val="both"/>
              <w:rPr/>
            </w:pPr>
            <w:r>
              <w:rPr>
                <w:b/>
                <w:color w:val="000000"/>
                <w:spacing w:val="0"/>
                <w:kern w:val="0"/>
                <w:sz w:val="20"/>
                <w:szCs w:val="20"/>
              </w:rPr>
              <w:t>Ответственный исполнитель:</w:t>
            </w:r>
            <w:r>
              <w:rPr>
                <w:color w:val="000000"/>
                <w:spacing w:val="0"/>
                <w:kern w:val="0"/>
                <w:sz w:val="20"/>
                <w:szCs w:val="20"/>
              </w:rPr>
              <w:t xml:space="preserve"> </w:t>
              <w:b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З.Т. Джиоев</w:t>
            </w:r>
          </w:p>
          <w:p>
            <w:pPr>
              <w:pStyle w:val="Normal"/>
              <w:widowControl w:val="false"/>
              <w:suppressAutoHyphens w:val="true"/>
              <w:spacing w:lineRule="auto" w:line="240" w:before="0" w:after="0"/>
              <w:ind w:left="0" w:right="0" w:hanging="0"/>
              <w:jc w:val="left"/>
              <w:rPr>
                <w:sz w:val="20"/>
              </w:rPr>
            </w:pPr>
            <w:r>
              <w:rPr>
                <w:sz w:val="20"/>
              </w:rPr>
            </w:r>
          </w:p>
          <w:p>
            <w:pPr>
              <w:pStyle w:val="Normal"/>
              <w:widowControl w:val="false"/>
              <w:suppressAutoHyphens w:val="true"/>
              <w:spacing w:lineRule="auto" w:line="240" w:before="0" w:after="0"/>
              <w:ind w:left="0" w:right="0" w:hanging="0"/>
              <w:jc w:val="left"/>
              <w:rPr>
                <w:b/>
                <w:b/>
                <w:color w:val="000000"/>
                <w:sz w:val="20"/>
              </w:rPr>
            </w:pPr>
            <w:r>
              <w:rPr>
                <w:b/>
                <w:color w:val="000000"/>
                <w:sz w:val="20"/>
              </w:rPr>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b w:val="false"/>
                <w:color w:val="000000"/>
                <w:spacing w:val="0"/>
                <w:kern w:val="0"/>
                <w:sz w:val="20"/>
                <w:szCs w:val="20"/>
              </w:rPr>
              <w:t xml:space="preserve">Реализованы запланированные мероприятия по развитию </w:t>
            </w:r>
            <w:r>
              <w:rPr>
                <w:color w:val="000000"/>
                <w:spacing w:val="0"/>
                <w:kern w:val="0"/>
                <w:sz w:val="20"/>
                <w:szCs w:val="20"/>
              </w:rPr>
              <w:t>морских российских портов</w:t>
            </w:r>
          </w:p>
        </w:tc>
        <w:tc>
          <w:tcPr>
            <w:tcW w:w="1842"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26"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В соответствии с контрольными точками реализации ФП 2, ФП 15, ФП 33</w:t>
            </w:r>
          </w:p>
        </w:tc>
        <w:tc>
          <w:tcPr>
            <w:tcW w:w="1399" w:type="dxa"/>
            <w:tcBorders>
              <w:top w:val="single" w:sz="4" w:space="0" w:color="000000"/>
              <w:left w:val="single" w:sz="4" w:space="0" w:color="000000"/>
              <w:bottom w:val="single" w:sz="4" w:space="0" w:color="000000"/>
              <w:right w:val="single" w:sz="4" w:space="0" w:color="000000"/>
            </w:tcBorders>
          </w:tcPr>
          <w:p>
            <w:pPr>
              <w:pStyle w:val="23"/>
              <w:widowControl w:val="false"/>
              <w:suppressAutoHyphens w:val="true"/>
              <w:spacing w:lineRule="exact" w:line="232" w:before="0" w:after="0"/>
              <w:ind w:left="0" w:right="0" w:hanging="0"/>
              <w:jc w:val="left"/>
              <w:rPr>
                <w:rFonts w:eastAsia="Tahoma" w:cs="Droid Sans Devanagari"/>
                <w:b w:val="false"/>
                <w:b w:val="false"/>
                <w:color w:val="000000"/>
                <w:spacing w:val="0"/>
                <w:kern w:val="0"/>
                <w:sz w:val="20"/>
                <w:szCs w:val="20"/>
                <w:lang w:val="ru-RU" w:eastAsia="zh-CN" w:bidi="hi-IN"/>
              </w:rPr>
            </w:pPr>
            <w:r>
              <w:rPr>
                <w:rFonts w:eastAsia="Tahoma" w:cs="Droid Sans Devanagari"/>
                <w:b w:val="false"/>
                <w:color w:val="000000"/>
                <w:spacing w:val="0"/>
                <w:kern w:val="0"/>
                <w:sz w:val="20"/>
                <w:szCs w:val="20"/>
                <w:lang w:val="ru-RU" w:eastAsia="zh-CN" w:bidi="hi-IN"/>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33</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 xml:space="preserve">Направление (блок мероприятий) 3.3. Обустройство и обеспечение функционирования пунктов пропуска через государственную границу </w:t>
              <w:br/>
              <w:t>Российской Федерации</w:t>
            </w:r>
          </w:p>
        </w:tc>
      </w:tr>
      <w:tr>
        <w:trPr>
          <w:trHeight w:val="1035"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5"/>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3.3.</w:t>
            </w:r>
          </w:p>
          <w:p>
            <w:pPr>
              <w:pStyle w:val="Normal"/>
              <w:widowControl w:val="false"/>
              <w:suppressAutoHyphens w:val="true"/>
              <w:spacing w:lineRule="auto" w:line="240" w:before="0" w:after="0"/>
              <w:ind w:left="720" w:right="0" w:hanging="0"/>
              <w:jc w:val="both"/>
              <w:rPr>
                <w:color w:val="auto"/>
                <w:spacing w:val="0"/>
                <w:kern w:val="0"/>
                <w:sz w:val="20"/>
                <w:szCs w:val="20"/>
              </w:rPr>
            </w:pPr>
            <w:r>
              <w:rPr>
                <w:color w:val="auto"/>
                <w:spacing w:val="0"/>
                <w:kern w:val="0"/>
                <w:sz w:val="20"/>
                <w:szCs w:val="20"/>
              </w:rPr>
              <w:t>Увеличение пропускной способности пунктов пропуска, в том числе по видам международного сообщения, тыс. транспортных средств в год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pacing w:val="0"/>
                <w:kern w:val="0"/>
                <w:sz w:val="20"/>
                <w:szCs w:val="20"/>
              </w:rPr>
              <w:t>4002,1</w:t>
            </w:r>
            <w:r>
              <w:rPr>
                <w:rStyle w:val="Style10"/>
                <w:color w:val="000000"/>
                <w:spacing w:val="0"/>
                <w:kern w:val="0"/>
                <w:sz w:val="20"/>
                <w:szCs w:val="20"/>
              </w:rPr>
              <w:footnoteReference w:id="21"/>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4002,1</w:t>
            </w:r>
            <w:r>
              <w:rPr>
                <w:color w:val="000000"/>
                <w:spacing w:val="0"/>
                <w:kern w:val="0"/>
                <w:sz w:val="20"/>
                <w:szCs w:val="20"/>
                <w:vertAlign w:val="superscript"/>
              </w:rPr>
              <w:t>20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4002,1</w:t>
            </w:r>
            <w:r>
              <w:rPr>
                <w:color w:val="000000"/>
                <w:spacing w:val="0"/>
                <w:kern w:val="0"/>
                <w:sz w:val="20"/>
                <w:szCs w:val="20"/>
                <w:vertAlign w:val="superscript"/>
              </w:rPr>
              <w:t>20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4002,1</w:t>
            </w:r>
            <w:r>
              <w:rPr>
                <w:color w:val="000000"/>
                <w:spacing w:val="0"/>
                <w:kern w:val="0"/>
                <w:sz w:val="20"/>
                <w:szCs w:val="20"/>
                <w:vertAlign w:val="superscript"/>
              </w:rPr>
              <w:t>20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position w:val="0"/>
                <w:sz w:val="20"/>
                <w:sz w:val="20"/>
                <w:szCs w:val="20"/>
                <w:vertAlign w:val="baseline"/>
              </w:rPr>
              <w:t>4789,5</w:t>
            </w:r>
            <w:r>
              <w:rPr>
                <w:rFonts w:eastAsia="Tahoma" w:cs="Droid Sans Devanagari"/>
                <w:color w:val="000000"/>
                <w:spacing w:val="0"/>
                <w:kern w:val="0"/>
                <w:sz w:val="20"/>
                <w:szCs w:val="20"/>
                <w:vertAlign w:val="superscript"/>
                <w:lang w:val="ru-RU" w:eastAsia="zh-CN" w:bidi="hi-IN"/>
              </w:rPr>
              <w:t>20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7280,2</w:t>
            </w:r>
            <w:r>
              <w:rPr>
                <w:color w:val="000000"/>
                <w:spacing w:val="0"/>
                <w:kern w:val="0"/>
                <w:sz w:val="20"/>
                <w:szCs w:val="20"/>
                <w:vertAlign w:val="superscript"/>
              </w:rPr>
              <w:t>20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32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ВП </w:t>
            </w:r>
            <w:r>
              <w:rPr>
                <w:rFonts w:eastAsia="Tahoma" w:cs="Droid Sans Devanagari"/>
                <w:color w:val="000000"/>
                <w:spacing w:val="0"/>
                <w:kern w:val="0"/>
                <w:sz w:val="20"/>
                <w:szCs w:val="20"/>
                <w:lang w:val="ru-RU" w:eastAsia="zh-CN" w:bidi="hi-IN"/>
              </w:rPr>
              <w:t>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5</w:t>
            </w:r>
          </w:p>
        </w:tc>
      </w:tr>
      <w:tr>
        <w:trPr>
          <w:trHeight w:val="1035"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5"/>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3.3.</w:t>
            </w:r>
          </w:p>
          <w:p>
            <w:pPr>
              <w:pStyle w:val="Normal"/>
              <w:widowControl w:val="false"/>
              <w:suppressAutoHyphens w:val="true"/>
              <w:spacing w:lineRule="auto" w:line="240" w:before="0" w:after="0"/>
              <w:ind w:left="720" w:right="0" w:hanging="0"/>
              <w:jc w:val="both"/>
              <w:rPr>
                <w:color w:val="auto"/>
                <w:spacing w:val="0"/>
                <w:kern w:val="0"/>
                <w:sz w:val="20"/>
                <w:szCs w:val="20"/>
              </w:rPr>
            </w:pPr>
            <w:r>
              <w:rPr>
                <w:color w:val="auto"/>
                <w:spacing w:val="0"/>
                <w:kern w:val="0"/>
                <w:sz w:val="20"/>
                <w:szCs w:val="20"/>
              </w:rPr>
              <w:t xml:space="preserve">Увеличение пропускной способности морских пунктов пропуска, </w:t>
              <w:br/>
              <w:t>тыс. транспортных средств в год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4,7</w:t>
            </w:r>
            <w:r>
              <w:rPr>
                <w:color w:val="000000"/>
                <w:spacing w:val="0"/>
                <w:kern w:val="0"/>
                <w:sz w:val="20"/>
                <w:szCs w:val="20"/>
                <w:vertAlign w:val="superscript"/>
              </w:rPr>
              <w:t>20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4,7</w:t>
            </w:r>
            <w:r>
              <w:rPr>
                <w:rFonts w:eastAsia="Tahoma" w:cs="Droid Sans Devanagari"/>
                <w:color w:val="000000"/>
                <w:spacing w:val="0"/>
                <w:kern w:val="0"/>
                <w:sz w:val="20"/>
                <w:szCs w:val="20"/>
                <w:vertAlign w:val="superscript"/>
                <w:lang w:val="ru-RU" w:eastAsia="zh-CN" w:bidi="hi-IN"/>
              </w:rPr>
              <w:t>20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4,7</w:t>
            </w:r>
            <w:r>
              <w:rPr>
                <w:color w:val="000000"/>
                <w:spacing w:val="0"/>
                <w:kern w:val="0"/>
                <w:sz w:val="20"/>
                <w:szCs w:val="20"/>
                <w:vertAlign w:val="superscript"/>
              </w:rPr>
              <w:t>20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rFonts w:eastAsia="Tahoma" w:cs="Droid Sans Devanagari"/>
                <w:color w:val="000000"/>
                <w:spacing w:val="0"/>
                <w:kern w:val="0"/>
                <w:sz w:val="20"/>
                <w:szCs w:val="20"/>
                <w:lang w:val="ru-RU" w:eastAsia="zh-CN" w:bidi="hi-IN"/>
              </w:rPr>
              <w:t>4,7</w:t>
            </w:r>
            <w:r>
              <w:rPr>
                <w:rFonts w:eastAsia="Tahoma" w:cs="Droid Sans Devanagari"/>
                <w:color w:val="000000"/>
                <w:spacing w:val="0"/>
                <w:kern w:val="0"/>
                <w:sz w:val="20"/>
                <w:szCs w:val="20"/>
                <w:vertAlign w:val="superscript"/>
                <w:lang w:val="ru-RU" w:eastAsia="zh-CN" w:bidi="hi-IN"/>
              </w:rPr>
              <w:t>20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rFonts w:eastAsia="Tahoma" w:cs="Droid Sans Devanagari"/>
                <w:color w:val="000000"/>
                <w:spacing w:val="0"/>
                <w:kern w:val="0"/>
                <w:sz w:val="20"/>
                <w:szCs w:val="20"/>
                <w:lang w:val="ru-RU" w:eastAsia="zh-CN" w:bidi="hi-IN"/>
              </w:rPr>
              <w:t>4,7</w:t>
            </w:r>
            <w:r>
              <w:rPr>
                <w:rFonts w:eastAsia="Tahoma" w:cs="Droid Sans Devanagari"/>
                <w:color w:val="000000"/>
                <w:spacing w:val="0"/>
                <w:kern w:val="0"/>
                <w:sz w:val="20"/>
                <w:szCs w:val="20"/>
                <w:vertAlign w:val="superscript"/>
                <w:lang w:val="ru-RU" w:eastAsia="zh-CN" w:bidi="hi-IN"/>
              </w:rPr>
              <w:t>20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13,5</w:t>
            </w:r>
            <w:r>
              <w:rPr>
                <w:color w:val="000000"/>
                <w:spacing w:val="0"/>
                <w:kern w:val="0"/>
                <w:sz w:val="20"/>
                <w:szCs w:val="20"/>
                <w:vertAlign w:val="superscript"/>
              </w:rPr>
              <w:t>20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32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ВП </w:t>
            </w:r>
            <w:r>
              <w:rPr>
                <w:rFonts w:eastAsia="Tahoma" w:cs="Droid Sans Devanagari"/>
                <w:color w:val="000000"/>
                <w:spacing w:val="0"/>
                <w:kern w:val="0"/>
                <w:sz w:val="20"/>
                <w:szCs w:val="20"/>
                <w:lang w:val="ru-RU" w:eastAsia="zh-CN" w:bidi="hi-IN"/>
              </w:rPr>
              <w:t>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5</w:t>
            </w:r>
          </w:p>
        </w:tc>
      </w:tr>
      <w:tr>
        <w:trPr>
          <w:trHeight w:val="979"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5"/>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3.3.</w:t>
            </w:r>
          </w:p>
          <w:p>
            <w:pPr>
              <w:pStyle w:val="Normal"/>
              <w:widowControl w:val="false"/>
              <w:suppressAutoHyphens w:val="true"/>
              <w:spacing w:lineRule="auto" w:line="240" w:before="0" w:after="0"/>
              <w:ind w:left="720" w:right="0" w:hanging="0"/>
              <w:jc w:val="both"/>
              <w:rPr>
                <w:color w:val="auto"/>
                <w:spacing w:val="0"/>
                <w:kern w:val="0"/>
                <w:sz w:val="20"/>
                <w:szCs w:val="20"/>
              </w:rPr>
            </w:pPr>
            <w:r>
              <w:rPr>
                <w:color w:val="auto"/>
                <w:spacing w:val="0"/>
                <w:kern w:val="0"/>
                <w:sz w:val="20"/>
                <w:szCs w:val="20"/>
              </w:rPr>
              <w:t xml:space="preserve">Увеличение пропускной способности железнодорожных пунктов пропуска, </w:t>
              <w:br/>
              <w:t>тыс. транспортных средств в год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14,2</w:t>
            </w:r>
            <w:r>
              <w:rPr>
                <w:color w:val="000000"/>
                <w:spacing w:val="0"/>
                <w:kern w:val="0"/>
                <w:sz w:val="20"/>
                <w:szCs w:val="20"/>
                <w:vertAlign w:val="superscript"/>
              </w:rPr>
              <w:t>20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14,2</w:t>
            </w:r>
            <w:r>
              <w:rPr>
                <w:rFonts w:eastAsia="Tahoma" w:cs="Droid Sans Devanagari"/>
                <w:color w:val="000000"/>
                <w:spacing w:val="0"/>
                <w:kern w:val="0"/>
                <w:sz w:val="20"/>
                <w:szCs w:val="20"/>
                <w:vertAlign w:val="superscript"/>
                <w:lang w:val="ru-RU" w:eastAsia="zh-CN" w:bidi="hi-IN"/>
              </w:rPr>
              <w:t>20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14,2</w:t>
            </w:r>
            <w:r>
              <w:rPr>
                <w:rFonts w:eastAsia="Tahoma" w:cs="Droid Sans Devanagari"/>
                <w:color w:val="000000"/>
                <w:spacing w:val="0"/>
                <w:kern w:val="0"/>
                <w:sz w:val="20"/>
                <w:szCs w:val="20"/>
                <w:vertAlign w:val="superscript"/>
                <w:lang w:val="ru-RU" w:eastAsia="zh-CN" w:bidi="hi-IN"/>
              </w:rPr>
              <w:t>20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14,2</w:t>
            </w:r>
            <w:r>
              <w:rPr>
                <w:rFonts w:eastAsia="Tahoma" w:cs="Droid Sans Devanagari"/>
                <w:color w:val="000000"/>
                <w:spacing w:val="0"/>
                <w:kern w:val="0"/>
                <w:sz w:val="20"/>
                <w:szCs w:val="20"/>
                <w:vertAlign w:val="superscript"/>
                <w:lang w:val="ru-RU" w:eastAsia="zh-CN" w:bidi="hi-IN"/>
              </w:rPr>
              <w:t>20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rFonts w:eastAsia="Tahoma" w:cs="Droid Sans Devanagari"/>
                <w:color w:val="000000"/>
                <w:spacing w:val="0"/>
                <w:kern w:val="0"/>
                <w:sz w:val="20"/>
                <w:szCs w:val="20"/>
                <w:lang w:val="ru-RU" w:eastAsia="zh-CN" w:bidi="hi-IN"/>
              </w:rPr>
              <w:t>14,2</w:t>
            </w:r>
            <w:r>
              <w:rPr>
                <w:rFonts w:eastAsia="Tahoma" w:cs="Droid Sans Devanagari"/>
                <w:color w:val="000000"/>
                <w:spacing w:val="0"/>
                <w:kern w:val="0"/>
                <w:sz w:val="20"/>
                <w:szCs w:val="20"/>
                <w:vertAlign w:val="superscript"/>
                <w:lang w:val="ru-RU" w:eastAsia="zh-CN" w:bidi="hi-IN"/>
              </w:rPr>
              <w:t>20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35,8</w:t>
            </w:r>
            <w:r>
              <w:rPr>
                <w:rFonts w:eastAsia="Tahoma" w:cs="Droid Sans Devanagari"/>
                <w:color w:val="000000"/>
                <w:spacing w:val="0"/>
                <w:kern w:val="0"/>
                <w:sz w:val="20"/>
                <w:szCs w:val="20"/>
                <w:vertAlign w:val="superscript"/>
                <w:lang w:val="ru-RU" w:eastAsia="zh-CN" w:bidi="hi-IN"/>
              </w:rPr>
              <w:t>20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32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ВП </w:t>
            </w:r>
            <w:r>
              <w:rPr>
                <w:rFonts w:eastAsia="Tahoma" w:cs="Droid Sans Devanagari"/>
                <w:color w:val="000000"/>
                <w:spacing w:val="0"/>
                <w:kern w:val="0"/>
                <w:sz w:val="20"/>
                <w:szCs w:val="20"/>
                <w:lang w:val="ru-RU" w:eastAsia="zh-CN" w:bidi="hi-IN"/>
              </w:rPr>
              <w:t>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5</w:t>
            </w:r>
          </w:p>
        </w:tc>
      </w:tr>
      <w:tr>
        <w:trPr>
          <w:trHeight w:val="83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5"/>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3.3.</w:t>
            </w:r>
          </w:p>
          <w:p>
            <w:pPr>
              <w:pStyle w:val="Normal"/>
              <w:widowControl w:val="false"/>
              <w:suppressAutoHyphens w:val="true"/>
              <w:spacing w:lineRule="auto" w:line="240" w:before="0" w:after="0"/>
              <w:ind w:left="720" w:right="0" w:hanging="0"/>
              <w:jc w:val="both"/>
              <w:rPr/>
            </w:pPr>
            <w:r>
              <w:rPr>
                <w:color w:val="auto"/>
                <w:spacing w:val="0"/>
                <w:kern w:val="0"/>
                <w:sz w:val="20"/>
                <w:szCs w:val="20"/>
              </w:rPr>
              <w:t>Увеличение пропускной способности автомобильных пунктов пропуска,</w:t>
            </w:r>
            <w:r>
              <w:rPr>
                <w:color w:val="C9211E"/>
                <w:spacing w:val="0"/>
                <w:kern w:val="0"/>
                <w:sz w:val="20"/>
                <w:szCs w:val="20"/>
              </w:rPr>
              <w:t xml:space="preserve"> </w:t>
              <w:br/>
            </w:r>
            <w:r>
              <w:rPr>
                <w:color w:val="auto"/>
                <w:spacing w:val="0"/>
                <w:kern w:val="0"/>
                <w:sz w:val="20"/>
                <w:szCs w:val="20"/>
              </w:rPr>
              <w:t>тыс. транспортных средств в год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3983,2</w:t>
            </w:r>
            <w:r>
              <w:rPr>
                <w:rFonts w:eastAsia="Tahoma" w:cs="Droid Sans Devanagari"/>
                <w:color w:val="000000"/>
                <w:spacing w:val="0"/>
                <w:kern w:val="0"/>
                <w:sz w:val="20"/>
                <w:szCs w:val="20"/>
                <w:vertAlign w:val="superscript"/>
                <w:lang w:val="ru-RU" w:eastAsia="zh-CN" w:bidi="hi-IN"/>
              </w:rPr>
              <w:t>20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3983,2</w:t>
            </w:r>
            <w:r>
              <w:rPr>
                <w:rFonts w:eastAsia="Tahoma" w:cs="Droid Sans Devanagari"/>
                <w:color w:val="000000"/>
                <w:spacing w:val="0"/>
                <w:kern w:val="0"/>
                <w:sz w:val="20"/>
                <w:szCs w:val="20"/>
                <w:vertAlign w:val="superscript"/>
                <w:lang w:val="ru-RU" w:eastAsia="zh-CN" w:bidi="hi-IN"/>
              </w:rPr>
              <w:t>20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3983,2</w:t>
            </w:r>
            <w:r>
              <w:rPr>
                <w:rFonts w:eastAsia="Tahoma" w:cs="Droid Sans Devanagari"/>
                <w:color w:val="000000"/>
                <w:spacing w:val="0"/>
                <w:kern w:val="0"/>
                <w:sz w:val="20"/>
                <w:szCs w:val="20"/>
                <w:vertAlign w:val="superscript"/>
                <w:lang w:val="ru-RU" w:eastAsia="zh-CN" w:bidi="hi-IN"/>
              </w:rPr>
              <w:t>20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position w:val="0"/>
                <w:sz w:val="20"/>
                <w:sz w:val="20"/>
                <w:szCs w:val="20"/>
                <w:vertAlign w:val="baseline"/>
              </w:rPr>
              <w:t>3983,2</w:t>
            </w:r>
            <w:r>
              <w:rPr>
                <w:rFonts w:eastAsia="Tahoma" w:cs="Droid Sans Devanagari"/>
                <w:color w:val="000000"/>
                <w:spacing w:val="0"/>
                <w:kern w:val="0"/>
                <w:sz w:val="20"/>
                <w:szCs w:val="20"/>
                <w:vertAlign w:val="superscript"/>
                <w:lang w:val="ru-RU" w:eastAsia="zh-CN" w:bidi="hi-IN"/>
              </w:rPr>
              <w:t>20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position w:val="0"/>
                <w:sz w:val="20"/>
                <w:sz w:val="20"/>
                <w:szCs w:val="20"/>
                <w:vertAlign w:val="baseline"/>
              </w:rPr>
              <w:t>4770,6</w:t>
            </w:r>
            <w:r>
              <w:rPr>
                <w:rFonts w:eastAsia="Tahoma" w:cs="Droid Sans Devanagari"/>
                <w:color w:val="000000"/>
                <w:spacing w:val="0"/>
                <w:kern w:val="0"/>
                <w:sz w:val="20"/>
                <w:szCs w:val="20"/>
                <w:vertAlign w:val="superscript"/>
                <w:lang w:val="ru-RU" w:eastAsia="zh-CN" w:bidi="hi-IN"/>
              </w:rPr>
              <w:t>20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7230,9</w:t>
            </w:r>
            <w:r>
              <w:rPr>
                <w:rFonts w:eastAsia="Tahoma" w:cs="Droid Sans Devanagari"/>
                <w:color w:val="000000"/>
                <w:spacing w:val="0"/>
                <w:kern w:val="0"/>
                <w:sz w:val="20"/>
                <w:szCs w:val="20"/>
                <w:vertAlign w:val="superscript"/>
                <w:lang w:val="ru-RU" w:eastAsia="zh-CN" w:bidi="hi-IN"/>
              </w:rPr>
              <w:t>20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32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pPr>
            <w:r>
              <w:rPr>
                <w:color w:val="000000"/>
                <w:spacing w:val="0"/>
                <w:kern w:val="0"/>
                <w:sz w:val="20"/>
                <w:szCs w:val="20"/>
              </w:rPr>
              <w:t xml:space="preserve">ВП </w:t>
            </w:r>
            <w:r>
              <w:rPr>
                <w:rFonts w:eastAsia="Tahoma" w:cs="Droid Sans Devanagari"/>
                <w:color w:val="000000"/>
                <w:spacing w:val="0"/>
                <w:kern w:val="0"/>
                <w:sz w:val="20"/>
                <w:szCs w:val="20"/>
                <w:lang w:val="ru-RU" w:eastAsia="zh-CN" w:bidi="hi-IN"/>
              </w:rPr>
              <w:t>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5</w:t>
            </w:r>
          </w:p>
        </w:tc>
      </w:tr>
      <w:tr>
        <w:trPr>
          <w:trHeight w:val="121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5"/>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3.3.</w:t>
            </w:r>
          </w:p>
          <w:p>
            <w:pPr>
              <w:pStyle w:val="Normal"/>
              <w:widowControl w:val="false"/>
              <w:suppressAutoHyphens w:val="true"/>
              <w:spacing w:lineRule="auto" w:line="240" w:before="0" w:after="0"/>
              <w:ind w:left="720" w:right="0" w:hanging="0"/>
              <w:jc w:val="both"/>
              <w:rPr/>
            </w:pPr>
            <w:r>
              <w:rPr>
                <w:spacing w:val="0"/>
                <w:kern w:val="0"/>
                <w:sz w:val="20"/>
                <w:szCs w:val="20"/>
              </w:rPr>
              <w:t>Открытие после завершения реконструкции (строительства, технического перевооружения) пунктов пропуска через государственную границу Российской Федерации</w:t>
            </w:r>
            <w:r>
              <w:rPr>
                <w:color w:val="000000"/>
                <w:spacing w:val="0"/>
                <w:kern w:val="0"/>
                <w:sz w:val="20"/>
                <w:szCs w:val="20"/>
              </w:rPr>
              <w:t>,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p>
            <w:pPr>
              <w:pStyle w:val="Normal"/>
              <w:widowControl w:val="false"/>
              <w:suppressAutoHyphens w:val="true"/>
              <w:spacing w:lineRule="auto" w:line="240" w:before="0" w:after="0"/>
              <w:ind w:left="0" w:right="0" w:hanging="0"/>
              <w:jc w:val="center"/>
              <w:rPr>
                <w:color w:val="000000"/>
                <w:spacing w:val="0"/>
                <w:kern w:val="0"/>
                <w:sz w:val="20"/>
                <w:szCs w:val="20"/>
                <w:shd w:fill="FFFF00" w:val="clear"/>
              </w:rPr>
            </w:pPr>
            <w:r>
              <w:rPr>
                <w:color w:val="000000"/>
                <w:spacing w:val="0"/>
                <w:kern w:val="0"/>
                <w:sz w:val="20"/>
                <w:szCs w:val="20"/>
                <w:shd w:fill="FFFF00" w:val="clear"/>
              </w:rPr>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w:t>
            </w:r>
          </w:p>
          <w:p>
            <w:pPr>
              <w:pStyle w:val="Normal"/>
              <w:widowControl w:val="false"/>
              <w:suppressAutoHyphens w:val="true"/>
              <w:spacing w:lineRule="auto" w:line="240" w:before="0" w:after="0"/>
              <w:ind w:left="0" w:right="0" w:hanging="0"/>
              <w:jc w:val="center"/>
              <w:rPr>
                <w:color w:val="000000"/>
                <w:spacing w:val="0"/>
                <w:kern w:val="0"/>
                <w:sz w:val="20"/>
                <w:szCs w:val="20"/>
                <w:shd w:fill="FFFF00" w:val="clear"/>
              </w:rPr>
            </w:pPr>
            <w:r>
              <w:rPr>
                <w:color w:val="000000"/>
                <w:spacing w:val="0"/>
                <w:kern w:val="0"/>
                <w:sz w:val="20"/>
                <w:szCs w:val="20"/>
                <w:shd w:fill="FFFF00" w:val="clear"/>
              </w:rPr>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32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ГП 45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2</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ВП 5</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3.3.1. </w:t>
            </w:r>
            <w:r>
              <w:rPr>
                <w:color w:val="000000"/>
                <w:spacing w:val="0"/>
                <w:kern w:val="0"/>
                <w:sz w:val="20"/>
                <w:szCs w:val="20"/>
              </w:rPr>
              <w:t>Обеспечение открытия после завершения реконструкции (строительства, технического перевооружения) пунктов пропуска через государственную границу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М.А. Кокаев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К.Г. Лазарев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Открыты после завершения реконструкции (строительства, технического перевооружения) пункты пропуска через государственную границу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Открыты после завершения реконструкции (строительства, технического перевооружения) пункты пропуска через государственную границу Российской Федерации</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32</w:t>
            </w:r>
          </w:p>
          <w:p>
            <w:pPr>
              <w:pStyle w:val="Normal"/>
              <w:widowControl w:val="false"/>
              <w:suppressAutoHyphens w:val="true"/>
              <w:spacing w:lineRule="auto" w:line="240" w:before="0" w:after="0"/>
              <w:ind w:left="0" w:right="0" w:hanging="0"/>
              <w:jc w:val="center"/>
              <w:rPr>
                <w:color w:val="000000"/>
                <w:sz w:val="20"/>
              </w:rPr>
            </w:pPr>
            <w:r>
              <w:rPr>
                <w:color w:val="000000"/>
                <w:spacing w:val="0"/>
                <w:kern w:val="0"/>
                <w:sz w:val="20"/>
                <w:szCs w:val="20"/>
              </w:rPr>
              <w:t>ГП 45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5</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3.3.2. </w:t>
            </w:r>
            <w:r>
              <w:rPr>
                <w:color w:val="000000"/>
                <w:spacing w:val="0"/>
                <w:kern w:val="0"/>
                <w:sz w:val="20"/>
                <w:szCs w:val="20"/>
              </w:rPr>
              <w:t>Обеспечение функционирования пунктов пропуска через государственную границу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М.А. Кокаев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К.Г. Лазарев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Обеспечение бесперебойного функционирования пунктов пропуска, включая их  техническое оснащение (за исключением специального оборудования государственных контрольных органов), а также создание условий для эффективного развития пунктов пропуска в условиях интеграционных процессов, в том числе в рамках Евразийского экономического союза;</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Совершенствование системы пунктов пропуска в зависимости от темпов социально-экономического развития Российской Федерации и потребностей экономики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color w:val="000000"/>
                <w:spacing w:val="0"/>
                <w:kern w:val="0"/>
                <w:sz w:val="20"/>
                <w:szCs w:val="20"/>
              </w:rPr>
              <w:t xml:space="preserve">Бесперебойное </w:t>
            </w:r>
            <w:r>
              <w:rPr>
                <w:color w:val="000000"/>
                <w:spacing w:val="0"/>
                <w:kern w:val="0"/>
                <w:sz w:val="19"/>
                <w:szCs w:val="20"/>
              </w:rPr>
              <w:t xml:space="preserve">функционирование </w:t>
            </w:r>
            <w:r>
              <w:rPr>
                <w:color w:val="000000"/>
                <w:spacing w:val="0"/>
                <w:kern w:val="0"/>
                <w:sz w:val="20"/>
                <w:szCs w:val="20"/>
              </w:rPr>
              <w:t>пунктов пропуска</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8</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КПМ 4</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spacing w:val="0"/>
                <w:kern w:val="0"/>
                <w:sz w:val="20"/>
                <w:szCs w:val="20"/>
              </w:rPr>
              <w:t xml:space="preserve">Мероприятие 3.3.3. </w:t>
            </w:r>
            <w:r>
              <w:rPr>
                <w:color w:val="000000"/>
                <w:spacing w:val="0"/>
                <w:kern w:val="0"/>
                <w:sz w:val="20"/>
                <w:szCs w:val="20"/>
              </w:rPr>
              <w:t xml:space="preserve">Внедрение электронного документооборота при перевозке грузов по международным транспортным коридорам </w:t>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Создана Концепция развития автоматизированной информационной системы оформления и сопровождения воздушных грузовых перевозок (АИС ОВГП) и ее правовые основы.</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Разработаны правила стандартизации процессов электронного оформления  и сопровождения грузовых перевозок.</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Создан и внедрен пилотный проект</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АИС ОВГП, интегрированный с ведомственными информационными системами.</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Создан и внедрен электронный документооборот при грузовых мультимодальных перевозках</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Внедрен электронный документооборот при перевозке грузов по международным транспортным коридорам</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10</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6</w:t>
            </w:r>
          </w:p>
        </w:tc>
      </w:tr>
      <w:tr>
        <w:trPr>
          <w:trHeight w:val="517"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3.4. Интеграция в мировое транспортное пространство и реализация транзитного потенциала страны в области автомобильного транспорта</w:t>
            </w:r>
            <w:r>
              <w:rPr>
                <w:rStyle w:val="Style10"/>
                <w:b/>
                <w:color w:val="000000"/>
                <w:spacing w:val="0"/>
                <w:kern w:val="0"/>
                <w:sz w:val="20"/>
                <w:szCs w:val="20"/>
              </w:rPr>
              <w:footnoteReference w:id="22"/>
            </w:r>
          </w:p>
        </w:tc>
      </w:tr>
      <w:tr>
        <w:trPr>
          <w:trHeight w:val="681"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6"/>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3.4.</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Повышение доли участия российских перевозчиков в объеме международных автомобильных перевозок грузов,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45</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ТС РФ 1</w:t>
            </w:r>
          </w:p>
        </w:tc>
      </w:tr>
      <w:tr>
        <w:trPr>
          <w:trHeight w:val="1637"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spacing w:val="0"/>
                <w:kern w:val="0"/>
                <w:sz w:val="20"/>
                <w:szCs w:val="20"/>
              </w:rPr>
              <w:t xml:space="preserve">Мероприятие 3.4.1. </w:t>
            </w:r>
            <w:r>
              <w:rPr>
                <w:color w:val="000000"/>
                <w:spacing w:val="0"/>
                <w:kern w:val="0"/>
                <w:sz w:val="20"/>
                <w:szCs w:val="20"/>
              </w:rPr>
              <w:t>Разработка и реализация законодательных и других нормативных актов, направленных на обеспечение конкурентоспособности российских перевозчиков в области международных автоперевозок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А.С. Бакирей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В.В. Куликов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Внесение изменений:</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в КОАП в части введения обязанности уплаты административных штрафов иностранными перевозчиками до выезда с территории Российской Федерации за административные правонарушения в области дорожного движения, предусмотренные главой 12 КОАП, а в случае неуплаты применение меры обеспечения, в том числе в виде задержания транспортного средства;</w:t>
            </w:r>
          </w:p>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 в статью 11 Федерального закона</w:t>
              <w:br/>
              <w:t>от 24.07.1998 № 127-ФЗ</w:t>
              <w:br/>
              <w:t>«О государственном контроле за осуществлением международных автомобильных перевозок и об ответственности за нарушение порядка их выполнения» в части задержания и или запрета выезда иностранного перевозчика с территории Российской Федерации в порядке и в случаях, предусмотренных законодательством Российской Федерации об административных правонарушениях;</w:t>
            </w:r>
          </w:p>
          <w:p>
            <w:pPr>
              <w:pStyle w:val="Normal"/>
              <w:widowControl w:val="false"/>
              <w:suppressAutoHyphens w:val="true"/>
              <w:spacing w:lineRule="auto" w:line="240" w:before="0" w:after="0"/>
              <w:ind w:left="0" w:right="0" w:hanging="0"/>
              <w:jc w:val="left"/>
              <w:rPr>
                <w:sz w:val="20"/>
              </w:rPr>
            </w:pPr>
            <w:r>
              <w:rPr>
                <w:color w:val="000000"/>
                <w:spacing w:val="0"/>
                <w:kern w:val="0"/>
                <w:sz w:val="20"/>
                <w:szCs w:val="20"/>
              </w:rPr>
              <w:t xml:space="preserve">- в постановление Правительства Российской Федерации от 31.10.1998 № 1272 </w:t>
              <w:br/>
              <w:t>«О государственном контроле (надзоре) за осуществлением международных автомобильных перевозок» в части, касающейся наделения должностных лиц таможенных органов и Ространснадзора полномочиями по контролю выполнения иностранными перевозчиками обязанности уплаты административных штрафов до выезда с территории Российской Федерации, а также подготовка проекта постановления Правительства Российской Федерации «Об утверждении Порядка информационного взаимодействия федеральных органов исполнительной власти»</w:t>
            </w:r>
          </w:p>
          <w:p>
            <w:pPr>
              <w:pStyle w:val="Normal"/>
              <w:widowControl w:val="false"/>
              <w:suppressAutoHyphens w:val="true"/>
              <w:spacing w:lineRule="auto" w:line="240" w:before="0" w:after="0"/>
              <w:ind w:left="0" w:right="0" w:hanging="0"/>
              <w:jc w:val="left"/>
              <w:rPr>
                <w:sz w:val="20"/>
              </w:rPr>
            </w:pPr>
            <w:r>
              <w:rPr>
                <w:sz w:val="20"/>
              </w:rPr>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124" w:hanging="0"/>
              <w:jc w:val="left"/>
              <w:rPr>
                <w:color w:val="000000"/>
                <w:spacing w:val="0"/>
                <w:kern w:val="0"/>
                <w:sz w:val="20"/>
                <w:szCs w:val="20"/>
              </w:rPr>
            </w:pPr>
            <w:r>
              <w:rPr>
                <w:color w:val="000000"/>
                <w:spacing w:val="0"/>
                <w:kern w:val="0"/>
                <w:sz w:val="20"/>
                <w:szCs w:val="20"/>
              </w:rPr>
              <w:t xml:space="preserve">Совершенствование порядка контроля </w:t>
              <w:br/>
              <w:t>за осуществлением международных автомобильных перевозок</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ТС РФ 1</w:t>
            </w:r>
          </w:p>
        </w:tc>
      </w:tr>
      <w:tr>
        <w:trPr>
          <w:trHeight w:val="401" w:hRule="atLeast"/>
        </w:trPr>
        <w:tc>
          <w:tcPr>
            <w:tcW w:w="15086" w:type="dxa"/>
            <w:gridSpan w:val="16"/>
            <w:tcBorders>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3.5. Формирование сети транспортно-логистических центров</w:t>
            </w:r>
          </w:p>
        </w:tc>
      </w:tr>
      <w:tr>
        <w:trPr>
          <w:trHeight w:val="481"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7"/>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3.5.</w:t>
            </w:r>
          </w:p>
          <w:p>
            <w:pPr>
              <w:pStyle w:val="Normal"/>
              <w:widowControl w:val="false"/>
              <w:suppressAutoHyphens w:val="true"/>
              <w:spacing w:lineRule="auto" w:line="240" w:before="0" w:after="0"/>
              <w:ind w:left="720" w:right="0" w:hanging="0"/>
              <w:jc w:val="both"/>
              <w:rPr/>
            </w:pPr>
            <w:r>
              <w:rPr>
                <w:color w:val="auto"/>
                <w:spacing w:val="0"/>
                <w:kern w:val="0"/>
                <w:sz w:val="20"/>
                <w:szCs w:val="20"/>
              </w:rPr>
              <w:t xml:space="preserve">Суммарная мощность введенных в эксплуатацию узловых грузовых </w:t>
              <w:br/>
              <w:t xml:space="preserve">транспортно-логистических центров, млн. тонн (нарастающим итогом </w:t>
              <w:br/>
              <w:t>с 2019 года)</w:t>
            </w:r>
            <w:r>
              <w:rPr>
                <w:spacing w:val="0"/>
                <w:kern w:val="0"/>
                <w:sz w:val="20"/>
                <w:szCs w:val="20"/>
              </w:rPr>
              <w:t>, млн. тонн</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pPr>
            <w:r>
              <w:rPr>
                <w:color w:val="000000"/>
                <w:spacing w:val="0"/>
                <w:kern w:val="0"/>
                <w:sz w:val="20"/>
                <w:szCs w:val="20"/>
              </w:rPr>
              <w:t>-</w:t>
            </w:r>
            <w:r>
              <w:rPr>
                <w:color w:val="000000"/>
                <w:spacing w:val="0"/>
                <w:kern w:val="0"/>
                <w:sz w:val="20"/>
                <w:szCs w:val="20"/>
                <w:vertAlign w:val="superscript"/>
              </w:rPr>
              <w:t>22</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sz w:val="20"/>
              </w:rPr>
            </w:pPr>
            <w:r>
              <w:rPr>
                <w:color w:val="000000"/>
                <w:spacing w:val="0"/>
                <w:kern w:val="0"/>
                <w:sz w:val="20"/>
                <w:szCs w:val="20"/>
              </w:rPr>
              <w:t>2,2</w:t>
            </w:r>
            <w:r>
              <w:rPr>
                <w:rStyle w:val="Style10"/>
                <w:color w:val="000000"/>
                <w:spacing w:val="0"/>
                <w:kern w:val="0"/>
                <w:sz w:val="20"/>
                <w:szCs w:val="20"/>
              </w:rPr>
              <w:footnoteReference w:id="23"/>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5,7</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9,3</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10,5</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52,9</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6</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3.5.1. </w:t>
            </w:r>
            <w:r>
              <w:rPr>
                <w:color w:val="000000"/>
                <w:spacing w:val="0"/>
                <w:kern w:val="0"/>
                <w:sz w:val="20"/>
                <w:szCs w:val="20"/>
              </w:rPr>
              <w:t>Реализация инвестиционных проектов по формированию узловых грузовых мультимодальных транспортно-логистических центров</w:t>
            </w:r>
          </w:p>
          <w:p>
            <w:pPr>
              <w:pStyle w:val="Normal"/>
              <w:widowControl w:val="false"/>
              <w:suppressAutoHyphens w:val="true"/>
              <w:spacing w:lineRule="auto" w:line="240" w:before="0" w:after="0"/>
              <w:ind w:left="0" w:right="0" w:hanging="0"/>
              <w:jc w:val="both"/>
              <w:rPr/>
            </w:pPr>
            <w:r>
              <w:rPr>
                <w:b/>
                <w:spacing w:val="0"/>
                <w:kern w:val="0"/>
                <w:sz w:val="20"/>
                <w:szCs w:val="20"/>
              </w:rPr>
              <w:t>Ответственный исполнитель:</w:t>
            </w:r>
            <w:r>
              <w:rPr>
                <w:spacing w:val="0"/>
                <w:kern w:val="0"/>
                <w:sz w:val="20"/>
                <w:szCs w:val="20"/>
              </w:rPr>
              <w:t xml:space="preserve"> </w:t>
              <w:br/>
            </w:r>
            <w:r>
              <w:rPr>
                <w:color w:val="000000"/>
                <w:spacing w:val="0"/>
                <w:kern w:val="0"/>
                <w:sz w:val="20"/>
                <w:szCs w:val="20"/>
                <w:shd w:fill="auto" w:val="clear"/>
              </w:rPr>
              <w:t>А.В. Ересько</w:t>
            </w:r>
          </w:p>
          <w:p>
            <w:pPr>
              <w:pStyle w:val="Normal"/>
              <w:widowControl w:val="false"/>
              <w:suppressAutoHyphens w:val="true"/>
              <w:spacing w:lineRule="auto" w:line="240" w:before="0" w:after="0"/>
              <w:ind w:left="0" w:right="0" w:hanging="0"/>
              <w:jc w:val="both"/>
              <w:rPr>
                <w:sz w:val="20"/>
              </w:rPr>
            </w:pPr>
            <w:r>
              <w:rPr>
                <w:sz w:val="20"/>
              </w:rPr>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Формирование</w:t>
              <w:br/>
              <w:t>к 2024 году федеральной сети узловых грузовых мультимодальных транспортно-логистических центров суммарной мощностью не менее 52,9 млн. тонн, что позволит обеспечить рост средней коммерческой скорости товародвижения на железнодорожном транспорте к 2024 году до 440 км/сут</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b w:val="false"/>
                <w:b w:val="false"/>
                <w:color w:val="000000"/>
                <w:spacing w:val="0"/>
                <w:kern w:val="0"/>
                <w:sz w:val="20"/>
                <w:szCs w:val="20"/>
              </w:rPr>
            </w:pPr>
            <w:r>
              <w:rPr>
                <w:b w:val="false"/>
                <w:color w:val="000000"/>
                <w:spacing w:val="0"/>
                <w:kern w:val="0"/>
                <w:sz w:val="20"/>
                <w:szCs w:val="20"/>
              </w:rPr>
              <w:t>В соответствии с мероприятиями и контрольными точками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ОНДП</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6</w:t>
            </w:r>
          </w:p>
        </w:tc>
      </w:tr>
      <w:tr>
        <w:trPr>
          <w:trHeight w:val="625" w:hRule="atLeast"/>
        </w:trPr>
        <w:tc>
          <w:tcPr>
            <w:tcW w:w="15086" w:type="dxa"/>
            <w:gridSpan w:val="16"/>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center"/>
              <w:rPr>
                <w:b/>
                <w:b/>
                <w:sz w:val="20"/>
              </w:rPr>
            </w:pPr>
            <w:r>
              <w:rPr>
                <w:b/>
                <w:color w:val="000000"/>
                <w:spacing w:val="0"/>
                <w:kern w:val="0"/>
                <w:sz w:val="20"/>
                <w:szCs w:val="20"/>
              </w:rPr>
              <w:t>Цель 4. Повышение комплексной безопасности и устойчивости транспортной системы с целью сокращения числа происшествий на транспорте на единицу транспортных средств на 15 процентов относительно уровня 2017 года</w:t>
            </w:r>
            <w:r>
              <w:rPr>
                <w:rStyle w:val="Style10"/>
                <w:b/>
                <w:color w:val="000000"/>
                <w:spacing w:val="0"/>
                <w:kern w:val="0"/>
                <w:sz w:val="20"/>
                <w:szCs w:val="20"/>
              </w:rPr>
              <w:footnoteReference w:id="24"/>
            </w:r>
            <w:r>
              <w:rPr>
                <w:b/>
                <w:color w:val="000000"/>
                <w:spacing w:val="0"/>
                <w:kern w:val="0"/>
                <w:sz w:val="20"/>
                <w:szCs w:val="20"/>
              </w:rPr>
              <w:t>.</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 xml:space="preserve"> </w:t>
            </w:r>
            <w:r>
              <w:rPr>
                <w:b/>
                <w:color w:val="000000"/>
                <w:spacing w:val="0"/>
                <w:kern w:val="0"/>
                <w:sz w:val="20"/>
                <w:szCs w:val="20"/>
              </w:rPr>
              <w:t>заместитель Министра транспорта Российской Федерации И.П. Чалик</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А.В. Суханов,</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А.И. Пошивай</w:t>
            </w:r>
          </w:p>
        </w:tc>
      </w:tr>
      <w:tr>
        <w:trPr>
          <w:trHeight w:val="116"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color w:val="000000"/>
                <w:sz w:val="20"/>
              </w:rPr>
            </w:pPr>
            <w:r>
              <w:rPr>
                <w:b/>
                <w:color w:val="000000"/>
                <w:spacing w:val="0"/>
                <w:kern w:val="0"/>
                <w:sz w:val="20"/>
                <w:szCs w:val="20"/>
              </w:rPr>
              <w:t>Направление (блок мероприятий) 4.1. Обеспечение безопасности населения на транспорте</w:t>
            </w:r>
            <w:r>
              <w:rPr>
                <w:rStyle w:val="Style10"/>
                <w:b/>
                <w:color w:val="000000"/>
                <w:spacing w:val="0"/>
                <w:kern w:val="0"/>
                <w:sz w:val="20"/>
                <w:szCs w:val="20"/>
              </w:rPr>
              <w:footnoteReference w:id="25"/>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8"/>
              </w:numPr>
              <w:suppressAutoHyphens w:val="true"/>
              <w:spacing w:lineRule="auto" w:line="240" w:before="0" w:after="0"/>
              <w:ind w:left="0" w:right="0" w:hanging="0"/>
              <w:jc w:val="left"/>
              <w:rPr>
                <w:b/>
                <w:b/>
                <w:color w:val="000000"/>
                <w:spacing w:val="0"/>
                <w:kern w:val="0"/>
                <w:sz w:val="19"/>
                <w:szCs w:val="20"/>
              </w:rPr>
            </w:pPr>
            <w:r>
              <w:rPr>
                <w:b/>
                <w:color w:val="000000"/>
                <w:spacing w:val="0"/>
                <w:kern w:val="0"/>
                <w:sz w:val="19"/>
                <w:szCs w:val="20"/>
              </w:rPr>
              <w:t>Индикатор направления (блока мероприятий) 4.1.</w:t>
            </w:r>
          </w:p>
          <w:p>
            <w:pPr>
              <w:pStyle w:val="Normal"/>
              <w:widowControl w:val="false"/>
              <w:suppressAutoHyphens w:val="true"/>
              <w:spacing w:lineRule="auto" w:line="240" w:before="0" w:after="0"/>
              <w:ind w:left="720" w:right="0" w:hanging="0"/>
              <w:jc w:val="both"/>
              <w:rPr>
                <w:color w:val="000000"/>
                <w:spacing w:val="0"/>
                <w:kern w:val="0"/>
                <w:sz w:val="19"/>
                <w:szCs w:val="20"/>
              </w:rPr>
            </w:pPr>
            <w:r>
              <w:rPr>
                <w:color w:val="000000"/>
                <w:spacing w:val="0"/>
                <w:kern w:val="0"/>
                <w:sz w:val="19"/>
                <w:szCs w:val="20"/>
              </w:rPr>
              <w:t xml:space="preserve">Повышение уровня защищенности аэропортов от актов незаконного </w:t>
              <w:br/>
              <w:t>вмешательства,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24,2</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24,2</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66,9</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220"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8"/>
              </w:numPr>
              <w:suppressAutoHyphens w:val="true"/>
              <w:spacing w:lineRule="auto" w:line="240" w:before="0" w:after="0"/>
              <w:ind w:left="0" w:right="0" w:hanging="0"/>
              <w:jc w:val="left"/>
              <w:rPr>
                <w:b/>
                <w:b/>
                <w:color w:val="000000"/>
                <w:spacing w:val="0"/>
                <w:kern w:val="0"/>
                <w:sz w:val="19"/>
                <w:szCs w:val="20"/>
              </w:rPr>
            </w:pPr>
            <w:r>
              <w:rPr>
                <w:b/>
                <w:color w:val="000000"/>
                <w:spacing w:val="0"/>
                <w:kern w:val="0"/>
                <w:sz w:val="19"/>
                <w:szCs w:val="20"/>
              </w:rPr>
              <w:t>Индикатор направления (блока мероприятий) 4.1.</w:t>
            </w:r>
          </w:p>
          <w:p>
            <w:pPr>
              <w:pStyle w:val="Normal"/>
              <w:widowControl w:val="false"/>
              <w:suppressAutoHyphens w:val="true"/>
              <w:spacing w:lineRule="auto" w:line="240" w:before="0" w:after="0"/>
              <w:ind w:left="720" w:right="0" w:hanging="0"/>
              <w:jc w:val="both"/>
              <w:rPr>
                <w:color w:val="000000"/>
                <w:spacing w:val="0"/>
                <w:kern w:val="0"/>
                <w:sz w:val="19"/>
                <w:szCs w:val="20"/>
              </w:rPr>
            </w:pPr>
            <w:r>
              <w:rPr>
                <w:color w:val="000000"/>
                <w:spacing w:val="0"/>
                <w:kern w:val="0"/>
                <w:sz w:val="19"/>
                <w:szCs w:val="20"/>
              </w:rPr>
              <w:t>Повышение количества защищенных объектов транспортной инфраструктуры (гидроузлов), соответствующих требованиям обеспечения транспортной безопасности,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62,3</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62,3</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62,3</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87,7</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1070"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8"/>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 xml:space="preserve">Повышение уровня защищенности объектов транспортной инфраструктуры </w:t>
              <w:br/>
              <w:t>метрополитенов в соответствии с требованиями по обеспечению транспортной безопасности,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77</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82</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84</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1423"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8"/>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 xml:space="preserve">Повышение уровня защищенности объектов транспортной инфраструктуры Дирекции железнодорожных вокзалов - филиала открытого акционерного общества «Российские железные дороги» и федерального государственного унитарного предприятия «Крымская железная дорога» в соответствии с требованиями </w:t>
              <w:br/>
              <w:t>по обеспечению транспортной безопасности,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33,8</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41,4</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42,4</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42,8</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103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8"/>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Количество стационарных пунктов выборочного досмотра на автомобильных дорогах общего пользования федерального значения по линии Волго-Донского водораздела (Волгоградская область, Астраханская область), шт.</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996"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8"/>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 xml:space="preserve">Доля автомобилей, досматриваемых на участках автомобильных дорог общего пользования федерального значения в Волгоградской и Астраханской областях, </w:t>
              <w:br/>
              <w:t>в процентах от общего трафика:</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720" w:right="0" w:firstLine="448"/>
              <w:jc w:val="left"/>
              <w:rPr>
                <w:color w:val="000000"/>
                <w:spacing w:val="0"/>
                <w:kern w:val="0"/>
                <w:sz w:val="20"/>
                <w:szCs w:val="20"/>
              </w:rPr>
            </w:pPr>
            <w:r>
              <w:rPr>
                <w:color w:val="000000"/>
                <w:spacing w:val="0"/>
                <w:kern w:val="0"/>
                <w:sz w:val="20"/>
                <w:szCs w:val="20"/>
              </w:rPr>
              <w:t>при первом уровне безопасности,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720" w:right="0" w:firstLine="448"/>
              <w:jc w:val="left"/>
              <w:rPr>
                <w:color w:val="000000"/>
                <w:spacing w:val="0"/>
                <w:kern w:val="0"/>
                <w:sz w:val="20"/>
                <w:szCs w:val="20"/>
              </w:rPr>
            </w:pPr>
            <w:r>
              <w:rPr>
                <w:color w:val="000000"/>
                <w:spacing w:val="0"/>
                <w:kern w:val="0"/>
                <w:sz w:val="20"/>
                <w:szCs w:val="20"/>
              </w:rPr>
              <w:t>при втором уровне безопасности,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720" w:right="0" w:firstLine="448"/>
              <w:jc w:val="left"/>
              <w:rPr>
                <w:color w:val="000000"/>
                <w:spacing w:val="0"/>
                <w:kern w:val="0"/>
                <w:sz w:val="20"/>
                <w:szCs w:val="20"/>
              </w:rPr>
            </w:pPr>
            <w:r>
              <w:rPr>
                <w:color w:val="000000"/>
                <w:spacing w:val="0"/>
                <w:kern w:val="0"/>
                <w:sz w:val="20"/>
                <w:szCs w:val="20"/>
              </w:rPr>
              <w:t>при первом уровне безопасности,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789"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18"/>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4.1.</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Среднее (за период семь лет) количество совершенных актов незаконного вмешательства в деятельность транспортного комплекса, шт.</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25,5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24,5</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23,5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22,5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193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Мероприятие 4.1.1.</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Реализация Комплексной программы обеспечения безопасности населения </w:t>
              <w:br/>
              <w:t>на транспорте</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А.А. Демьянов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Повышена безопасность населения на транспорте</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Представлен доклад в Правительство Российской Федерации</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КПОБ</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4.2. Обеспечение и развитие деятельности поисково- и аварийно-спасательной системы на транспорте</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9"/>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4.2.</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Уровень охвата территории Российской Федерации поисково-спасательным обеспечением полетов,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78</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78</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78</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78</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78</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78</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5</w:t>
            </w:r>
          </w:p>
          <w:p>
            <w:pPr>
              <w:pStyle w:val="Normal"/>
              <w:widowControl w:val="false"/>
              <w:suppressAutoHyphens w:val="true"/>
              <w:spacing w:lineRule="auto" w:line="240" w:before="0" w:after="0"/>
              <w:ind w:left="0" w:right="0" w:hanging="0"/>
              <w:jc w:val="center"/>
              <w:rPr/>
            </w:pPr>
            <w:r>
              <w:rPr>
                <w:rFonts w:eastAsia="Tahoma" w:cs="Droid Sans Devanagari"/>
                <w:color w:val="000000"/>
                <w:spacing w:val="0"/>
                <w:kern w:val="0"/>
                <w:sz w:val="20"/>
                <w:szCs w:val="20"/>
                <w:lang w:val="ru-RU" w:eastAsia="zh-CN" w:bidi="hi-IN"/>
              </w:rPr>
              <w:t>Ф</w:t>
            </w:r>
            <w:r>
              <w:rPr>
                <w:color w:val="000000"/>
                <w:spacing w:val="0"/>
                <w:kern w:val="0"/>
                <w:sz w:val="20"/>
                <w:szCs w:val="20"/>
              </w:rPr>
              <w:t>П 32</w:t>
            </w:r>
          </w:p>
        </w:tc>
      </w:tr>
      <w:tr>
        <w:trPr>
          <w:trHeight w:val="1503"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4.2.1.</w:t>
            </w:r>
            <w:r>
              <w:rPr>
                <w:color w:val="000000"/>
                <w:spacing w:val="0"/>
                <w:kern w:val="0"/>
                <w:sz w:val="20"/>
                <w:szCs w:val="20"/>
              </w:rPr>
              <w:t xml:space="preserve"> Финансовое обеспечение оперативной деятельности, обеспечение имуществом и снаряжением, подведомственных Федеральному агентству воздушного транспорта аварийно-спасательных формирований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С.А. Петрова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Нерадько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охвата территории Российской Федерации поисково-спасательным обеспечением полетов на запланированном уровне</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b w:val="false"/>
                <w:spacing w:val="0"/>
                <w:kern w:val="0"/>
                <w:sz w:val="20"/>
                <w:szCs w:val="20"/>
              </w:rPr>
              <w:t xml:space="preserve">Отчет о реализации </w:t>
            </w:r>
            <w:r>
              <w:rPr>
                <w:b w:val="false"/>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5</w:t>
            </w:r>
          </w:p>
          <w:p>
            <w:pPr>
              <w:pStyle w:val="Normal"/>
              <w:widowControl w:val="false"/>
              <w:suppressAutoHyphens w:val="true"/>
              <w:spacing w:lineRule="auto" w:line="240" w:before="0" w:after="0"/>
              <w:ind w:left="0" w:right="0" w:hanging="0"/>
              <w:jc w:val="center"/>
              <w:rPr/>
            </w:pPr>
            <w:r>
              <w:rPr>
                <w:rFonts w:eastAsia="Tahoma" w:cs="Droid Sans Devanagari"/>
                <w:color w:val="000000"/>
                <w:spacing w:val="0"/>
                <w:kern w:val="0"/>
                <w:sz w:val="20"/>
                <w:szCs w:val="20"/>
                <w:lang w:val="ru-RU" w:eastAsia="zh-CN" w:bidi="hi-IN"/>
              </w:rPr>
              <w:t>Ф</w:t>
            </w:r>
            <w:r>
              <w:rPr>
                <w:color w:val="000000"/>
                <w:spacing w:val="0"/>
                <w:kern w:val="0"/>
                <w:sz w:val="20"/>
                <w:szCs w:val="20"/>
              </w:rPr>
              <w:t>П 32</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4.2.2.</w:t>
            </w:r>
            <w:r>
              <w:rPr>
                <w:color w:val="000000"/>
                <w:spacing w:val="0"/>
                <w:kern w:val="0"/>
                <w:sz w:val="20"/>
                <w:szCs w:val="20"/>
              </w:rPr>
              <w:t xml:space="preserve"> Финансовое обеспечение субсидий из федерального бюджета авиационным предприятиям и организациям экспериментальной авиации на возмещение затрат при осуществлении ими поисково-спасательных операций (работ) и участии в их обеспечении </w:t>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С.А. Петрова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Нерадько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охвата территории Российской Федерации поисково-спасательным обеспечением полетов на запланированном уровне</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b w:val="false"/>
                <w:spacing w:val="0"/>
                <w:kern w:val="0"/>
                <w:sz w:val="20"/>
                <w:szCs w:val="20"/>
              </w:rPr>
              <w:t xml:space="preserve">Отчет о реализации </w:t>
            </w:r>
            <w:r>
              <w:rPr>
                <w:b w:val="false"/>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5</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32</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19"/>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4.2.</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Уровень технической оснащенности аварийно-спасательных служб на водном транспорте,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51,5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52</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52</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52,5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52,5</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53</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tc>
      </w:tr>
      <w:tr>
        <w:trPr>
          <w:trHeight w:val="1509"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4.2.3.</w:t>
            </w:r>
            <w:r>
              <w:rPr>
                <w:color w:val="000000"/>
                <w:spacing w:val="0"/>
                <w:kern w:val="0"/>
                <w:sz w:val="20"/>
                <w:szCs w:val="20"/>
              </w:rPr>
              <w:t xml:space="preserve"> Предоставление субсидий из федерального бюджета на возмещение затрат, связанных с выполнением задач (функций) по выполнению мероприятий по несению аварийно-спасательной готовности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Предоставление субсидий на выполнение в полном объеме функций по выполнению мероприятий по несению аварийно-спасательной готовности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tc>
      </w:tr>
      <w:tr>
        <w:trPr>
          <w:trHeight w:val="1509"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4.2.4.</w:t>
            </w:r>
            <w:r>
              <w:rPr>
                <w:color w:val="000000"/>
                <w:spacing w:val="0"/>
                <w:kern w:val="0"/>
                <w:sz w:val="20"/>
                <w:szCs w:val="20"/>
              </w:rPr>
              <w:t xml:space="preserve"> Предоставление субсидий бюджетным учреждениям на выполнение государственного задания на оказание государственных услуг (выполнение работ) в области поискового и аварийно-спасательного обеспечения судоходства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Предоставление субсидий на обеспечение технической оснащенности аварийно-спасательных служб на водном транспорте на запланированном уровне</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4.2.5.</w:t>
            </w:r>
            <w:r>
              <w:rPr>
                <w:color w:val="000000"/>
                <w:spacing w:val="0"/>
                <w:kern w:val="0"/>
                <w:sz w:val="20"/>
                <w:szCs w:val="20"/>
              </w:rPr>
              <w:t xml:space="preserve"> Реконструкция объектов инфраструктуры базы технического обслуживания флота Северного филиала ФГБУ «Морспасслужба»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В.В. Клюев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Обеспечена техническая оснащенность аварийно-спасательных служб на одном транспорте на запланированном уровне</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spacing w:val="0"/>
                <w:kern w:val="0"/>
                <w:sz w:val="20"/>
                <w:szCs w:val="20"/>
              </w:rPr>
            </w:pPr>
            <w:r>
              <w:rPr>
                <w:b w:val="false"/>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4.3. Развитие интегрированной системы контроля безопасности на транспорте</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20"/>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4.3.</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Снижение количества смертельных случаев и случаев травматизма относительно уровня 2017 года,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55</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4.3.1. </w:t>
            </w:r>
            <w:r>
              <w:rPr>
                <w:color w:val="000000"/>
                <w:spacing w:val="0"/>
                <w:kern w:val="0"/>
                <w:sz w:val="20"/>
                <w:szCs w:val="20"/>
              </w:rPr>
              <w:t>Повышение эффективности осуществления контрольно-надзорной деятельности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В.Ф. Басаргин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Повышена эффективность осуществления контрольно-надзорной деятельности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color w:val="000000"/>
                <w:spacing w:val="0"/>
                <w:kern w:val="0"/>
                <w:sz w:val="20"/>
                <w:szCs w:val="20"/>
              </w:rPr>
            </w:pPr>
            <w:r>
              <w:rPr>
                <w:b w:val="false"/>
                <w:color w:val="000000"/>
                <w:spacing w:val="0"/>
                <w:kern w:val="0"/>
                <w:sz w:val="20"/>
                <w:szCs w:val="20"/>
              </w:rPr>
              <w:t>В соответствии с контрольными точками реализации ВП 3</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center"/>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tc>
      </w:tr>
      <w:tr>
        <w:trPr>
          <w:trHeight w:val="575"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20"/>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4.3.</w:t>
            </w:r>
          </w:p>
          <w:p>
            <w:pPr>
              <w:pStyle w:val="Normal"/>
              <w:widowControl w:val="false"/>
              <w:suppressAutoHyphens w:val="true"/>
              <w:spacing w:lineRule="auto" w:line="240" w:before="0" w:after="0"/>
              <w:ind w:left="720" w:right="0" w:hanging="0"/>
              <w:jc w:val="left"/>
              <w:rPr>
                <w:color w:val="000000"/>
                <w:spacing w:val="0"/>
                <w:kern w:val="0"/>
                <w:sz w:val="20"/>
                <w:szCs w:val="20"/>
              </w:rPr>
            </w:pPr>
            <w:r>
              <w:rPr>
                <w:color w:val="000000"/>
                <w:spacing w:val="0"/>
                <w:kern w:val="0"/>
                <w:sz w:val="20"/>
                <w:szCs w:val="20"/>
              </w:rPr>
              <w:t>Уровень оснащенности надзорного органа техническими средствами,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91</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92</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93</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94</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95</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tc>
      </w:tr>
      <w:tr>
        <w:trPr>
          <w:trHeight w:val="555"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20"/>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4.3.</w:t>
            </w:r>
          </w:p>
          <w:p>
            <w:pPr>
              <w:pStyle w:val="Normal"/>
              <w:widowControl w:val="false"/>
              <w:suppressAutoHyphens w:val="true"/>
              <w:spacing w:lineRule="auto" w:line="240" w:before="0" w:after="0"/>
              <w:ind w:left="720" w:right="0" w:hanging="0"/>
              <w:jc w:val="left"/>
              <w:rPr>
                <w:color w:val="000000"/>
                <w:spacing w:val="0"/>
                <w:kern w:val="0"/>
                <w:sz w:val="20"/>
                <w:szCs w:val="20"/>
              </w:rPr>
            </w:pPr>
            <w:r>
              <w:rPr>
                <w:color w:val="000000"/>
                <w:spacing w:val="0"/>
                <w:kern w:val="0"/>
                <w:sz w:val="20"/>
                <w:szCs w:val="20"/>
              </w:rPr>
              <w:t>Оснащение патрульными судами (катера),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tc>
      </w:tr>
      <w:tr>
        <w:trPr>
          <w:trHeight w:val="846"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20"/>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4.3.</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Прирост количества приобретенных передвижных контрольных пунктов транспортного контроля в отчетном периоде относительно уровня 2017 года, %</w:t>
            </w:r>
          </w:p>
        </w:tc>
        <w:tc>
          <w:tcPr>
            <w:tcW w:w="922" w:type="dxa"/>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10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15</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15</w:t>
            </w:r>
          </w:p>
        </w:tc>
        <w:tc>
          <w:tcPr>
            <w:tcW w:w="925" w:type="dxa"/>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20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25</w:t>
            </w:r>
          </w:p>
        </w:tc>
        <w:tc>
          <w:tcPr>
            <w:tcW w:w="919" w:type="dxa"/>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30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tc>
      </w:tr>
      <w:tr>
        <w:trPr>
          <w:trHeight w:val="218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4.3.2. </w:t>
            </w:r>
            <w:r>
              <w:rPr>
                <w:color w:val="000000"/>
                <w:spacing w:val="0"/>
                <w:kern w:val="0"/>
                <w:sz w:val="20"/>
                <w:szCs w:val="20"/>
              </w:rPr>
              <w:t>Приобретение патрульных судов, а также передвижных контрольных пунктов транспортного контроля</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В.Ф. Басаргин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Приобретены патрульные суда, а также передвижные контрольные пункты транспортного контроля</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color w:val="000000"/>
                <w:spacing w:val="0"/>
                <w:kern w:val="0"/>
                <w:sz w:val="20"/>
                <w:szCs w:val="20"/>
              </w:rPr>
            </w:pPr>
            <w:r>
              <w:rPr>
                <w:b w:val="false"/>
                <w:color w:val="000000"/>
                <w:spacing w:val="0"/>
                <w:kern w:val="0"/>
                <w:sz w:val="20"/>
                <w:szCs w:val="20"/>
              </w:rPr>
              <w:t>В соответствии с контрольными точками реализации ВП 3</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center"/>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tc>
      </w:tr>
      <w:tr>
        <w:trPr>
          <w:trHeight w:val="808" w:hRule="atLeast"/>
        </w:trPr>
        <w:tc>
          <w:tcPr>
            <w:tcW w:w="8203" w:type="dxa"/>
            <w:gridSpan w:val="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numPr>
                <w:ilvl w:val="0"/>
                <w:numId w:val="20"/>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4.3.</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Доступность сервиса Единой информационно-аналитической системы Ространснадзора, функционирующей в режиме 24/7,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99,5</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99,69</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99,8</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99,91</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99,92</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34</w:t>
            </w:r>
          </w:p>
        </w:tc>
      </w:tr>
      <w:tr>
        <w:trPr>
          <w:trHeight w:val="943"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0"/>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4.3.</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Уровень обслуживания центра обработки данных, резервного центра обработки данных и АРМ центрального аппарата Ространснадзора,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83</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95</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34</w:t>
            </w:r>
          </w:p>
        </w:tc>
      </w:tr>
      <w:tr>
        <w:trPr>
          <w:trHeight w:val="943"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4.3.3. </w:t>
            </w:r>
            <w:r>
              <w:rPr>
                <w:color w:val="000000"/>
                <w:spacing w:val="0"/>
                <w:kern w:val="0"/>
                <w:sz w:val="20"/>
                <w:szCs w:val="20"/>
              </w:rPr>
              <w:t>Обеспечение деятельности Ространснадзора и его территориальных управлений по осуществлению контрольной и надзорной деятельности на автомобильном, воздушном, железнодорожном, морском, внутреннем водном транспорте, дорожном хозяйстве, в сфере транспортной безопасности в части бесперебойного обслуживания Единой информационно-аналитической системы Ространснадзора, центра обработки данных, резервного центра обработки данных и АРМ центрального аппарата Ространснадзора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В.Ф. Басаргин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Постоянный доступ к сервису Единой информационно-аналитической системы Ространснадзора, постоянный и бесперебойный доступ к ЕИАС новых пользователей за счет увеличения вычислительных мощностей.</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Проведение мероприятий по снижению вероятности отказов за счет применения серверов с новыми технологическими характеристиками, повышение эффективности системы резервного копирования за счет увеличения скорости обработки данных и снижения уровня отказоустойчивости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b w:val="false"/>
                <w:b w:val="false"/>
                <w:color w:val="000000"/>
                <w:spacing w:val="0"/>
                <w:kern w:val="0"/>
                <w:sz w:val="20"/>
                <w:szCs w:val="20"/>
              </w:rPr>
            </w:pPr>
            <w:r>
              <w:rPr>
                <w:b w:val="false"/>
                <w:color w:val="000000"/>
                <w:spacing w:val="0"/>
                <w:kern w:val="0"/>
                <w:sz w:val="20"/>
                <w:szCs w:val="20"/>
              </w:rPr>
              <w:t>Отчет о реализации 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6</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ВП 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34</w:t>
            </w:r>
          </w:p>
        </w:tc>
      </w:tr>
      <w:tr>
        <w:trPr>
          <w:trHeight w:val="383"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4.4. Навигационно-информационное обеспечение транспортного комплекса</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4.4.1. </w:t>
            </w:r>
            <w:r>
              <w:rPr>
                <w:color w:val="000000"/>
                <w:spacing w:val="0"/>
                <w:kern w:val="0"/>
                <w:sz w:val="20"/>
                <w:szCs w:val="20"/>
              </w:rPr>
              <w:t>Проведение комплекса работ по созданию и обновлению баз данных навигационной информации для картографического обеспечения внутренних водных путей с использованием сигналов навигационной спутниковой системы ГЛОНАСС, перспективных глобальных навигационных</w:t>
            </w:r>
            <w:r>
              <w:rPr>
                <w:b/>
                <w:color w:val="000000"/>
                <w:spacing w:val="0"/>
                <w:kern w:val="0"/>
                <w:sz w:val="20"/>
                <w:szCs w:val="20"/>
              </w:rPr>
              <w:t xml:space="preserve"> </w:t>
            </w:r>
            <w:r>
              <w:rPr>
                <w:color w:val="000000"/>
                <w:spacing w:val="0"/>
                <w:kern w:val="0"/>
                <w:sz w:val="20"/>
                <w:szCs w:val="20"/>
              </w:rPr>
              <w:t>спутниковых систем и их функциональных дополнений</w:t>
            </w:r>
            <w:r>
              <w:rPr>
                <w:b/>
                <w:color w:val="000000"/>
                <w:spacing w:val="0"/>
                <w:kern w:val="0"/>
                <w:sz w:val="20"/>
                <w:szCs w:val="20"/>
              </w:rPr>
              <w:t xml:space="preserve"> Ответственный исполнитель:</w:t>
            </w:r>
          </w:p>
          <w:p>
            <w:pPr>
              <w:pStyle w:val="Normal"/>
              <w:widowControl w:val="false"/>
              <w:jc w:val="left"/>
              <w:rPr>
                <w:sz w:val="20"/>
                <w:szCs w:val="20"/>
              </w:rPr>
            </w:pPr>
            <w:r>
              <w:rPr>
                <w:sz w:val="20"/>
                <w:szCs w:val="20"/>
              </w:rPr>
              <w:t>Д.В. Баканов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Повышение безопасности судоходства на внутренних водных путях</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Создание и обновление электронных навигационных карт внутренних водных путей Российской Федерации и базы данных навигационной информации на участках внутренних водных путей общей протяженностью не менее 9 000 км</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Проектный</w:t>
            </w:r>
          </w:p>
        </w:tc>
        <w:tc>
          <w:tcPr>
            <w:tcW w:w="964" w:type="dxa"/>
            <w:gridSpan w:val="2"/>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IV кв.</w:t>
            </w:r>
          </w:p>
        </w:tc>
        <w:tc>
          <w:tcPr>
            <w:tcW w:w="890" w:type="dxa"/>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IV кв.</w:t>
            </w:r>
          </w:p>
        </w:tc>
        <w:tc>
          <w:tcPr>
            <w:tcW w:w="859" w:type="dxa"/>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kern w:val="0"/>
                <w:sz w:val="20"/>
                <w:szCs w:val="20"/>
                <w:lang w:val="ru-RU" w:eastAsia="zh-CN" w:bidi="hi-IN"/>
              </w:rPr>
            </w:pPr>
            <w:r>
              <w:rPr>
                <w:rFonts w:eastAsia="Tahoma" w:cs="Droid Sans Devanagari" w:ascii="Times New Roman" w:hAnsi="Times New Roman"/>
                <w:color w:val="000000"/>
                <w:kern w:val="0"/>
                <w:sz w:val="20"/>
                <w:szCs w:val="20"/>
                <w:lang w:val="ru-RU" w:eastAsia="zh-CN" w:bidi="hi-IN"/>
              </w:rPr>
            </w:r>
          </w:p>
        </w:tc>
        <w:tc>
          <w:tcPr>
            <w:tcW w:w="1017" w:type="dxa"/>
            <w:gridSpan w:val="2"/>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kern w:val="0"/>
                <w:sz w:val="20"/>
                <w:szCs w:val="20"/>
                <w:lang w:val="ru-RU" w:eastAsia="zh-CN" w:bidi="hi-IN"/>
              </w:rPr>
            </w:pPr>
            <w:r>
              <w:rPr>
                <w:rFonts w:eastAsia="Tahoma" w:cs="Droid Sans Devanagari" w:ascii="Times New Roman" w:hAnsi="Times New Roman"/>
                <w:color w:val="000000"/>
                <w:kern w:val="0"/>
                <w:sz w:val="20"/>
                <w:szCs w:val="20"/>
                <w:lang w:val="ru-RU" w:eastAsia="zh-CN" w:bidi="hi-IN"/>
              </w:rPr>
            </w:r>
          </w:p>
        </w:tc>
        <w:tc>
          <w:tcPr>
            <w:tcW w:w="851" w:type="dxa"/>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kern w:val="0"/>
                <w:sz w:val="20"/>
                <w:szCs w:val="20"/>
                <w:lang w:val="ru-RU" w:eastAsia="zh-CN" w:bidi="hi-IN"/>
              </w:rPr>
            </w:pPr>
            <w:r>
              <w:rPr>
                <w:rFonts w:eastAsia="Tahoma" w:cs="Droid Sans Devanagari" w:ascii="Times New Roman" w:hAnsi="Times New Roman"/>
                <w:color w:val="000000"/>
                <w:kern w:val="0"/>
                <w:sz w:val="20"/>
                <w:szCs w:val="20"/>
                <w:lang w:val="ru-RU" w:eastAsia="zh-CN" w:bidi="hi-IN"/>
              </w:rPr>
            </w:r>
          </w:p>
        </w:tc>
        <w:tc>
          <w:tcPr>
            <w:tcW w:w="991" w:type="dxa"/>
            <w:gridSpan w:val="2"/>
            <w:tcBorders>
              <w:top w:val="single" w:sz="4" w:space="0" w:color="000000"/>
              <w:left w:val="single" w:sz="4" w:space="0" w:color="000000"/>
              <w:bottom w:val="single" w:sz="4" w:space="0" w:color="000000"/>
              <w:right w:val="single" w:sz="4" w:space="0" w:color="000000"/>
            </w:tcBorders>
          </w:tcPr>
          <w:p>
            <w:pPr>
              <w:pStyle w:val="ConsPlusNormal1"/>
              <w:widowControl w:val="false"/>
              <w:suppressAutoHyphens w:val="true"/>
              <w:spacing w:lineRule="auto" w:line="240" w:before="0" w:after="0"/>
              <w:ind w:left="0" w:right="0" w:hanging="0"/>
              <w:jc w:val="center"/>
              <w:rPr>
                <w:rFonts w:ascii="Times New Roman" w:hAnsi="Times New Roman" w:eastAsia="Tahoma" w:cs="Droid Sans Devanagari"/>
                <w:color w:val="000000"/>
                <w:kern w:val="0"/>
                <w:sz w:val="20"/>
                <w:szCs w:val="20"/>
                <w:lang w:val="ru-RU" w:eastAsia="zh-CN" w:bidi="hi-IN"/>
              </w:rPr>
            </w:pPr>
            <w:r>
              <w:rPr>
                <w:rFonts w:eastAsia="Tahoma" w:cs="Droid Sans Devanagari" w:ascii="Times New Roman" w:hAnsi="Times New Roman"/>
                <w:color w:val="000000"/>
                <w:kern w:val="0"/>
                <w:sz w:val="20"/>
                <w:szCs w:val="20"/>
                <w:lang w:val="ru-RU" w:eastAsia="zh-CN" w:bidi="hi-IN"/>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ФЦП 3</w:t>
            </w:r>
          </w:p>
        </w:tc>
      </w:tr>
      <w:tr>
        <w:trPr>
          <w:trHeight w:val="701"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 xml:space="preserve">Направление (блок мероприятий) 4.5. Повышение уровня информационного обеспечения безопасности населения на транспорте с обеспечением </w:t>
              <w:br/>
              <w:t>до 30000 субъектов транспортной деятельности</w:t>
            </w:r>
          </w:p>
        </w:tc>
      </w:tr>
      <w:tr>
        <w:trPr>
          <w:trHeight w:val="112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1"/>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4.5.</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Количество субъектов транспортной деятельности, подключенных к единому защищенному закрытому информационному пространству в сфере обеспечения безопасности населения на транспорте,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500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3000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7000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15000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30000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7</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34</w:t>
            </w:r>
          </w:p>
        </w:tc>
      </w:tr>
      <w:tr>
        <w:trPr>
          <w:trHeight w:val="2270"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4.5.1. </w:t>
            </w:r>
            <w:r>
              <w:rPr>
                <w:color w:val="000000"/>
                <w:spacing w:val="0"/>
                <w:kern w:val="0"/>
                <w:sz w:val="20"/>
                <w:szCs w:val="20"/>
              </w:rPr>
              <w:t>Реализация ведомственной целевой программы «Цифровая платформа транспортного комплекса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134" w:leader="none"/>
              </w:tabs>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Повышен уровень информационного обеспечения безопасности населения на транспорте с обеспечением </w:t>
              <w:br/>
              <w:t>до 30000 субъектов транспортной деятельности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color w:val="000000"/>
                <w:spacing w:val="0"/>
                <w:kern w:val="0"/>
                <w:sz w:val="20"/>
                <w:szCs w:val="20"/>
              </w:rPr>
              <w:t xml:space="preserve">Отчет о реализации </w:t>
            </w:r>
            <w:r>
              <w:rPr>
                <w:color w:val="000000"/>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7</w:t>
            </w:r>
          </w:p>
        </w:tc>
      </w:tr>
      <w:tr>
        <w:trPr>
          <w:trHeight w:val="2270" w:hRule="atLeast"/>
        </w:trPr>
        <w:tc>
          <w:tcPr>
            <w:tcW w:w="2536" w:type="dxa"/>
            <w:tcBorders>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4.5.2 </w:t>
            </w:r>
            <w:r>
              <w:rPr>
                <w:color w:val="000000"/>
                <w:spacing w:val="0"/>
                <w:kern w:val="0"/>
                <w:sz w:val="20"/>
                <w:szCs w:val="20"/>
              </w:rPr>
              <w:t xml:space="preserve">Реализация </w:t>
            </w:r>
            <w:r>
              <w:rPr>
                <w:rFonts w:eastAsia="Tahoma" w:cs="Droid Sans Devanagari"/>
                <w:color w:val="000000"/>
                <w:spacing w:val="0"/>
                <w:kern w:val="0"/>
                <w:sz w:val="20"/>
                <w:szCs w:val="20"/>
                <w:lang w:val="ru-RU" w:eastAsia="zh-CN" w:bidi="hi-IN"/>
              </w:rPr>
              <w:t>ф</w:t>
            </w:r>
            <w:r>
              <w:rPr>
                <w:color w:val="000000"/>
                <w:spacing w:val="0"/>
                <w:kern w:val="0"/>
                <w:sz w:val="20"/>
                <w:szCs w:val="20"/>
              </w:rPr>
              <w:t>едерального проекта «Информационно-аналитическое и научное обеспечение развития транспортной системы»</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tc>
        <w:tc>
          <w:tcPr>
            <w:tcW w:w="2426" w:type="dxa"/>
            <w:gridSpan w:val="3"/>
            <w:tcBorders>
              <w:left w:val="single" w:sz="4" w:space="0" w:color="000000"/>
              <w:bottom w:val="single" w:sz="4" w:space="0" w:color="000000"/>
              <w:right w:val="single" w:sz="4" w:space="0" w:color="000000"/>
            </w:tcBorders>
          </w:tcPr>
          <w:p>
            <w:pPr>
              <w:pStyle w:val="Normal"/>
              <w:widowControl w:val="false"/>
              <w:tabs>
                <w:tab w:val="clear" w:pos="708"/>
                <w:tab w:val="left" w:pos="1134" w:leader="none"/>
              </w:tabs>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Повышен уровень информационного обеспечения безопасности населения на транспорте</w:t>
            </w:r>
          </w:p>
        </w:tc>
        <w:tc>
          <w:tcPr>
            <w:tcW w:w="184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color w:val="000000"/>
                <w:spacing w:val="0"/>
                <w:kern w:val="0"/>
                <w:sz w:val="20"/>
                <w:szCs w:val="20"/>
              </w:rPr>
              <w:t xml:space="preserve">Отчет о реализации </w:t>
            </w:r>
            <w:r>
              <w:rPr>
                <w:color w:val="000000"/>
                <w:spacing w:val="0"/>
                <w:kern w:val="0"/>
                <w:sz w:val="20"/>
                <w:szCs w:val="20"/>
                <w:shd w:fill="auto" w:val="clear"/>
              </w:rPr>
              <w:t>ГП 24</w:t>
            </w:r>
          </w:p>
        </w:tc>
        <w:tc>
          <w:tcPr>
            <w:tcW w:w="139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34</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pPr>
            <w:r>
              <w:rPr>
                <w:b/>
                <w:color w:val="000000"/>
                <w:spacing w:val="0"/>
                <w:kern w:val="0"/>
                <w:sz w:val="20"/>
                <w:szCs w:val="20"/>
              </w:rPr>
              <w:t>Цель 5. Доведение доли автомобильных дорог регионального значения, соответствующих нормативным требованиям,</w:t>
            </w:r>
            <w:r>
              <w:rPr>
                <w:spacing w:val="0"/>
                <w:kern w:val="0"/>
                <w:sz w:val="20"/>
                <w:szCs w:val="20"/>
              </w:rPr>
              <w:t xml:space="preserve"> </w:t>
            </w:r>
            <w:r>
              <w:rPr>
                <w:b/>
                <w:color w:val="000000"/>
                <w:spacing w:val="0"/>
                <w:kern w:val="0"/>
                <w:sz w:val="20"/>
                <w:szCs w:val="20"/>
              </w:rPr>
              <w:t>до 50,9 процента</w:t>
            </w:r>
            <w:r>
              <w:rPr>
                <w:rStyle w:val="Style10"/>
                <w:b/>
                <w:color w:val="000000"/>
                <w:spacing w:val="0"/>
                <w:kern w:val="0"/>
                <w:sz w:val="20"/>
                <w:szCs w:val="20"/>
              </w:rPr>
              <w:footnoteReference w:id="26"/>
            </w:r>
            <w:r>
              <w:rPr>
                <w:b/>
                <w:color w:val="000000"/>
                <w:spacing w:val="0"/>
                <w:kern w:val="0"/>
                <w:sz w:val="20"/>
                <w:szCs w:val="20"/>
              </w:rPr>
              <w:t>.</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Ответственный исполнитель: первый заместитель Министра транспорта Российской Федерации  А.А. Костюк</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5.1. Повышение качества автомобильных дорог регионального значения</w:t>
            </w:r>
          </w:p>
        </w:tc>
      </w:tr>
      <w:tr>
        <w:trPr>
          <w:trHeight w:val="898"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2"/>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5.1.</w:t>
            </w:r>
          </w:p>
          <w:p>
            <w:pPr>
              <w:pStyle w:val="Normal"/>
              <w:widowControl w:val="false"/>
              <w:suppressAutoHyphens w:val="true"/>
              <w:spacing w:lineRule="auto" w:line="240" w:before="0" w:after="0"/>
              <w:ind w:left="720" w:right="0" w:hanging="0"/>
              <w:jc w:val="both"/>
              <w:rPr/>
            </w:pPr>
            <w:r>
              <w:rPr>
                <w:color w:val="000000"/>
                <w:spacing w:val="0"/>
                <w:kern w:val="0"/>
                <w:sz w:val="20"/>
                <w:szCs w:val="20"/>
              </w:rPr>
              <w:t>Доля автомобильных дорог регионального и межмуниципального значения, соответствующих нормативным требованиям, %</w:t>
            </w:r>
            <w:r>
              <w:rPr>
                <w:rStyle w:val="Style10"/>
                <w:b/>
                <w:color w:val="000000"/>
                <w:spacing w:val="0"/>
                <w:kern w:val="0"/>
                <w:sz w:val="20"/>
                <w:szCs w:val="20"/>
              </w:rPr>
              <w:footnoteReference w:id="27"/>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44,5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44,9</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45,8</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46,8</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48,6</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50,9</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30</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rPr>
                <w:sz w:val="20"/>
                <w:szCs w:val="20"/>
              </w:rPr>
            </w:pPr>
            <w:r>
              <w:rPr>
                <w:sz w:val="20"/>
                <w:szCs w:val="20"/>
              </w:rPr>
              <w:t>Мероприятие 5.1.1 Реализация программ дорожной деятельности  субъектами Российской Федерации</w:t>
            </w:r>
          </w:p>
          <w:p>
            <w:pPr>
              <w:pStyle w:val="Normal"/>
              <w:widowControl w:val="false"/>
              <w:rPr>
                <w:b/>
                <w:b/>
                <w:bCs/>
                <w:sz w:val="20"/>
                <w:szCs w:val="20"/>
                <w:shd w:fill="auto" w:val="clear"/>
              </w:rPr>
            </w:pPr>
            <w:r>
              <w:rPr>
                <w:b/>
                <w:bCs/>
                <w:sz w:val="20"/>
                <w:szCs w:val="20"/>
                <w:shd w:fill="auto" w:val="clear"/>
              </w:rPr>
              <w:t>Ответственный 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shd w:fill="auto" w:val="clear"/>
              </w:rPr>
            </w:pPr>
            <w:r>
              <w:rPr>
                <w:b w:val="false"/>
                <w:bCs w:val="false"/>
                <w:color w:val="000000"/>
                <w:spacing w:val="0"/>
                <w:kern w:val="0"/>
                <w:sz w:val="20"/>
                <w:szCs w:val="20"/>
                <w:shd w:fill="auto" w:val="clear"/>
              </w:rPr>
              <w:t>А.В. Шилов</w:t>
            </w:r>
          </w:p>
          <w:p>
            <w:pPr>
              <w:pStyle w:val="Normal"/>
              <w:widowControl w:val="false"/>
              <w:suppressAutoHyphens w:val="true"/>
              <w:spacing w:lineRule="auto" w:line="240" w:before="0" w:after="0"/>
              <w:ind w:left="0" w:right="0" w:hanging="0"/>
              <w:jc w:val="both"/>
              <w:rPr>
                <w:b/>
                <w:b/>
                <w:bCs/>
                <w:color w:val="000000"/>
                <w:spacing w:val="0"/>
                <w:kern w:val="0"/>
                <w:sz w:val="20"/>
                <w:szCs w:val="20"/>
                <w:shd w:fill="auto" w:val="clear"/>
              </w:rPr>
            </w:pPr>
            <w:r>
              <w:rPr>
                <w:b/>
                <w:bCs/>
                <w:color w:val="000000"/>
                <w:spacing w:val="0"/>
                <w:kern w:val="0"/>
                <w:sz w:val="20"/>
                <w:szCs w:val="20"/>
                <w:shd w:fill="auto" w:val="clear"/>
              </w:rPr>
              <w:t>Соисполнитель:</w:t>
            </w:r>
          </w:p>
          <w:p>
            <w:pPr>
              <w:pStyle w:val="Normal"/>
              <w:widowControl w:val="false"/>
              <w:rPr>
                <w:sz w:val="20"/>
                <w:szCs w:val="20"/>
                <w:shd w:fill="auto" w:val="clear"/>
              </w:rPr>
            </w:pPr>
            <w:r>
              <w:rPr>
                <w:sz w:val="20"/>
                <w:szCs w:val="20"/>
                <w:shd w:fill="auto" w:val="clear"/>
              </w:rPr>
              <w:t>И.В. Костюченко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Реализованы программы дорожной деятельности субъектами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В соответствии с контрольными точками реализации ФП 11 и ФП 23, ФП 30</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20"/>
                <w:szCs w:val="20"/>
              </w:rPr>
            </w:pPr>
            <w:r>
              <w:rPr>
                <w:sz w:val="20"/>
                <w:szCs w:val="20"/>
              </w:rPr>
              <w:t>ГП 24</w:t>
            </w:r>
          </w:p>
          <w:p>
            <w:pPr>
              <w:pStyle w:val="Normal"/>
              <w:widowControl w:val="false"/>
              <w:jc w:val="center"/>
              <w:rPr>
                <w:sz w:val="20"/>
                <w:szCs w:val="20"/>
              </w:rPr>
            </w:pPr>
            <w:r>
              <w:rPr>
                <w:sz w:val="20"/>
                <w:szCs w:val="20"/>
              </w:rPr>
              <w:t>НП 2</w:t>
            </w:r>
          </w:p>
          <w:p>
            <w:pPr>
              <w:pStyle w:val="Normal"/>
              <w:widowControl w:val="false"/>
              <w:jc w:val="center"/>
              <w:rPr>
                <w:sz w:val="20"/>
                <w:szCs w:val="20"/>
              </w:rPr>
            </w:pPr>
            <w:r>
              <w:rPr>
                <w:sz w:val="20"/>
                <w:szCs w:val="20"/>
              </w:rPr>
              <w:t>НП 4</w:t>
            </w:r>
          </w:p>
          <w:p>
            <w:pPr>
              <w:pStyle w:val="Normal"/>
              <w:widowControl w:val="false"/>
              <w:jc w:val="center"/>
              <w:rPr>
                <w:sz w:val="20"/>
                <w:szCs w:val="20"/>
              </w:rPr>
            </w:pPr>
            <w:r>
              <w:rPr>
                <w:sz w:val="20"/>
                <w:szCs w:val="20"/>
              </w:rPr>
              <w:t>ФП 11</w:t>
            </w:r>
          </w:p>
          <w:p>
            <w:pPr>
              <w:pStyle w:val="Normal"/>
              <w:widowControl w:val="false"/>
              <w:jc w:val="center"/>
              <w:rPr>
                <w:sz w:val="20"/>
                <w:szCs w:val="20"/>
              </w:rPr>
            </w:pPr>
            <w:r>
              <w:rPr>
                <w:sz w:val="20"/>
                <w:szCs w:val="20"/>
              </w:rPr>
              <w:t>ФП 23</w:t>
            </w:r>
          </w:p>
          <w:p>
            <w:pPr>
              <w:pStyle w:val="Normal"/>
              <w:widowControl w:val="false"/>
              <w:jc w:val="center"/>
              <w:rPr>
                <w:sz w:val="20"/>
                <w:szCs w:val="20"/>
              </w:rPr>
            </w:pPr>
            <w:r>
              <w:rPr>
                <w:sz w:val="20"/>
                <w:szCs w:val="20"/>
              </w:rPr>
              <w:t>ФП 30</w:t>
            </w:r>
          </w:p>
        </w:tc>
      </w:tr>
      <w:tr>
        <w:trPr>
          <w:trHeight w:val="627"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Цель 6. Обеспечение доли дорожной сети в городских агломерациях, соответствующей нормативным требованиям, на уровне не менее 85 %.</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Ответственный исполнитель: первый заместитель Министра транспорта Российской Федерации  А.А. Костюк</w:t>
            </w:r>
          </w:p>
        </w:tc>
      </w:tr>
      <w:tr>
        <w:trPr>
          <w:trHeight w:val="565"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6.1. Повышение качества дорожной сети в городских агломерациях</w:t>
            </w:r>
          </w:p>
        </w:tc>
      </w:tr>
      <w:tr>
        <w:trPr>
          <w:trHeight w:val="496"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3"/>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6.1.</w:t>
            </w:r>
          </w:p>
          <w:p>
            <w:pPr>
              <w:pStyle w:val="Normal"/>
              <w:widowControl w:val="false"/>
              <w:suppressAutoHyphens w:val="true"/>
              <w:spacing w:lineRule="auto" w:line="240" w:before="0" w:after="0"/>
              <w:ind w:left="720" w:right="0" w:hanging="0"/>
              <w:jc w:val="both"/>
              <w:rPr/>
            </w:pPr>
            <w:r>
              <w:rPr>
                <w:color w:val="000000"/>
                <w:spacing w:val="0"/>
                <w:kern w:val="0"/>
                <w:sz w:val="20"/>
                <w:szCs w:val="20"/>
              </w:rPr>
              <w:t xml:space="preserve">Доля дорожной сети городских агломераций, </w:t>
            </w:r>
            <w:r>
              <w:rPr>
                <w:color w:val="000000"/>
                <w:spacing w:val="0"/>
                <w:kern w:val="0"/>
                <w:sz w:val="20"/>
                <w:szCs w:val="20"/>
                <w:shd w:fill="auto" w:val="clear"/>
              </w:rPr>
              <w:t>соответствующая нормативным требованиям,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65,3</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69,0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73,0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77,0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81,0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85,0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УП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23</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30</w:t>
            </w:r>
          </w:p>
        </w:tc>
      </w:tr>
      <w:tr>
        <w:trPr>
          <w:trHeight w:val="936"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shd w:fill="auto" w:val="clear"/>
              </w:rPr>
              <w:t xml:space="preserve">Мероприятие 6.1.1 </w:t>
            </w:r>
            <w:r>
              <w:rPr>
                <w:color w:val="000000"/>
                <w:spacing w:val="0"/>
                <w:kern w:val="0"/>
                <w:sz w:val="20"/>
                <w:szCs w:val="20"/>
                <w:shd w:fill="auto" w:val="clear"/>
              </w:rPr>
              <w:t>Реализация программ дорожной деятельности субъектами Российской Федерации</w:t>
            </w:r>
          </w:p>
          <w:p>
            <w:pPr>
              <w:pStyle w:val="Normal"/>
              <w:widowControl w:val="false"/>
              <w:suppressAutoHyphens w:val="true"/>
              <w:spacing w:lineRule="auto" w:line="240" w:before="0" w:after="0"/>
              <w:ind w:left="0" w:right="0" w:hanging="0"/>
              <w:jc w:val="both"/>
              <w:rPr>
                <w:b/>
                <w:b/>
                <w:bCs/>
                <w:color w:val="000000"/>
                <w:spacing w:val="0"/>
                <w:kern w:val="0"/>
                <w:sz w:val="20"/>
                <w:szCs w:val="20"/>
                <w:shd w:fill="auto" w:val="clear"/>
              </w:rPr>
            </w:pPr>
            <w:r>
              <w:rPr>
                <w:b/>
                <w:bCs/>
                <w:color w:val="000000"/>
                <w:spacing w:val="0"/>
                <w:kern w:val="0"/>
                <w:sz w:val="20"/>
                <w:szCs w:val="20"/>
                <w:shd w:fill="auto" w:val="clear"/>
              </w:rPr>
              <w:t>Ответственный 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shd w:fill="auto" w:val="clear"/>
              </w:rPr>
            </w:pPr>
            <w:r>
              <w:rPr>
                <w:b w:val="false"/>
                <w:bCs w:val="false"/>
                <w:color w:val="000000"/>
                <w:spacing w:val="0"/>
                <w:kern w:val="0"/>
                <w:sz w:val="20"/>
                <w:szCs w:val="20"/>
                <w:shd w:fill="auto" w:val="clear"/>
              </w:rPr>
              <w:t>А.В. Шилов</w:t>
            </w:r>
          </w:p>
          <w:p>
            <w:pPr>
              <w:pStyle w:val="Normal"/>
              <w:widowControl w:val="false"/>
              <w:suppressAutoHyphens w:val="true"/>
              <w:spacing w:lineRule="auto" w:line="240" w:before="0" w:after="0"/>
              <w:ind w:left="0" w:right="0" w:hanging="0"/>
              <w:jc w:val="both"/>
              <w:rPr>
                <w:b/>
                <w:b/>
                <w:bCs/>
                <w:color w:val="000000"/>
                <w:spacing w:val="0"/>
                <w:kern w:val="0"/>
                <w:sz w:val="20"/>
                <w:szCs w:val="20"/>
                <w:shd w:fill="auto" w:val="clear"/>
              </w:rPr>
            </w:pPr>
            <w:r>
              <w:rPr>
                <w:b/>
                <w:bCs/>
                <w:color w:val="000000"/>
                <w:spacing w:val="0"/>
                <w:kern w:val="0"/>
                <w:sz w:val="20"/>
                <w:szCs w:val="20"/>
                <w:shd w:fill="auto" w:val="clear"/>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И.В. Костюченко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hd w:fill="auto" w:val="clear"/>
              </w:rPr>
            </w:pPr>
            <w:r>
              <w:rPr>
                <w:color w:val="000000"/>
                <w:spacing w:val="0"/>
                <w:kern w:val="0"/>
                <w:sz w:val="20"/>
                <w:szCs w:val="20"/>
                <w:shd w:fill="auto" w:val="clear"/>
              </w:rPr>
              <w:t>Реализованы программы дорожной деятельности субъектами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b w:val="false"/>
                <w:spacing w:val="0"/>
                <w:kern w:val="0"/>
                <w:sz w:val="20"/>
                <w:szCs w:val="20"/>
                <w:shd w:fill="auto" w:val="clear"/>
              </w:rPr>
              <w:t xml:space="preserve">В соответствии с контрольными точками реализации ФП 11 и </w:t>
            </w:r>
            <w:r>
              <w:rPr>
                <w:color w:val="000000"/>
                <w:spacing w:val="0"/>
                <w:kern w:val="0"/>
                <w:sz w:val="20"/>
                <w:szCs w:val="20"/>
                <w:shd w:fill="auto" w:val="clear"/>
              </w:rPr>
              <w:t>ФП 23, ФП 30</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shd w:fill="auto" w:val="clear"/>
              </w:rPr>
            </w:pPr>
            <w:r>
              <w:rPr>
                <w:color w:val="000000"/>
                <w:spacing w:val="0"/>
                <w:kern w:val="0"/>
                <w:sz w:val="20"/>
                <w:szCs w:val="20"/>
                <w:shd w:fill="auto" w:val="clear"/>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УП 1</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УП 2</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НП 2</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НП 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11</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23</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30</w:t>
            </w:r>
          </w:p>
        </w:tc>
      </w:tr>
      <w:tr>
        <w:trPr>
          <w:trHeight w:val="369"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6.2. Внедрение интеллектуальных транспортных систем</w:t>
            </w:r>
          </w:p>
        </w:tc>
      </w:tr>
      <w:tr>
        <w:trPr>
          <w:trHeight w:val="936"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4"/>
              </w:numPr>
              <w:suppressAutoHyphens w:val="true"/>
              <w:spacing w:lineRule="auto" w:line="240" w:before="0" w:after="0"/>
              <w:ind w:left="0" w:right="0" w:hanging="0"/>
              <w:jc w:val="left"/>
              <w:rPr>
                <w:b/>
                <w:b/>
                <w:color w:val="000000"/>
                <w:spacing w:val="0"/>
                <w:kern w:val="0"/>
                <w:sz w:val="20"/>
                <w:szCs w:val="20"/>
              </w:rPr>
            </w:pPr>
            <w:r>
              <w:rPr>
                <w:b/>
                <w:color w:val="000000"/>
                <w:spacing w:val="0"/>
                <w:kern w:val="0"/>
                <w:sz w:val="20"/>
                <w:szCs w:val="20"/>
              </w:rPr>
              <w:t>Индикатор направления (блока мероприятий) 6.2.</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Количество городов с населением свыше 300000 человек с внедренными интеллектуальными транспортными системами, предусматривающими автоматизацию процессов управления дорожным движением в городских агломерациях (накопленным итогом), шт.</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27</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24</w:t>
            </w:r>
          </w:p>
          <w:p>
            <w:pPr>
              <w:pStyle w:val="Normal"/>
              <w:widowControl w:val="false"/>
              <w:suppressAutoHyphens w:val="true"/>
              <w:spacing w:lineRule="auto" w:line="240" w:before="0" w:after="0"/>
              <w:ind w:left="0" w:right="0" w:hanging="0"/>
              <w:jc w:val="center"/>
              <w:rPr/>
            </w:pPr>
            <w:r>
              <w:rPr>
                <w:rFonts w:eastAsia="Tahoma" w:cs="Droid Sans Devanagari"/>
                <w:color w:val="000000"/>
                <w:spacing w:val="0"/>
                <w:kern w:val="0"/>
                <w:sz w:val="20"/>
                <w:szCs w:val="20"/>
                <w:lang w:val="ru-RU" w:eastAsia="zh-CN" w:bidi="hi-IN"/>
              </w:rPr>
              <w:t>Ф</w:t>
            </w:r>
            <w:r>
              <w:rPr>
                <w:color w:val="000000"/>
                <w:spacing w:val="0"/>
                <w:kern w:val="0"/>
                <w:sz w:val="20"/>
                <w:szCs w:val="20"/>
              </w:rPr>
              <w:t>П 34</w:t>
            </w:r>
          </w:p>
        </w:tc>
      </w:tr>
      <w:tr>
        <w:trPr>
          <w:trHeight w:val="936"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6.2.1 </w:t>
            </w:r>
            <w:r>
              <w:rPr>
                <w:color w:val="000000"/>
                <w:spacing w:val="0"/>
                <w:kern w:val="0"/>
                <w:sz w:val="20"/>
                <w:szCs w:val="20"/>
              </w:rPr>
              <w:t xml:space="preserve">Реализация мероприятий по внедрению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w:t>
              <w:br/>
              <w:t>300000 человек</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А.В. Шилов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Р.В. Новиков</w:t>
            </w:r>
          </w:p>
          <w:p>
            <w:pPr>
              <w:pStyle w:val="ConsPlusNormal1"/>
              <w:widowControl w:val="false"/>
              <w:suppressAutoHyphens w:val="true"/>
              <w:bidi w:val="0"/>
              <w:spacing w:lineRule="auto" w:line="240" w:before="0" w:after="0"/>
              <w:ind w:left="0" w:right="0" w:hanging="0"/>
              <w:jc w:val="both"/>
              <w:rPr>
                <w:rFonts w:ascii="Times New Roman" w:hAnsi="Times New Roman" w:eastAsia="Tahoma" w:cs="Droid Sans Devanagari"/>
                <w:b w:val="false"/>
                <w:b w:val="false"/>
                <w:bCs w:val="false"/>
                <w:color w:val="000000"/>
                <w:spacing w:val="0"/>
                <w:kern w:val="0"/>
                <w:sz w:val="20"/>
                <w:szCs w:val="20"/>
                <w:lang w:val="ru-RU" w:eastAsia="zh-CN" w:bidi="hi-IN"/>
              </w:rPr>
            </w:pPr>
            <w:r>
              <w:rPr>
                <w:rFonts w:eastAsia="Tahoma" w:cs="Droid Sans Devanagari" w:ascii="Times New Roman" w:hAnsi="Times New Roman"/>
                <w:b w:val="false"/>
                <w:bCs w:val="false"/>
                <w:color w:val="000000"/>
                <w:spacing w:val="0"/>
                <w:kern w:val="0"/>
                <w:sz w:val="20"/>
                <w:szCs w:val="20"/>
                <w:lang w:val="ru-RU" w:eastAsia="zh-CN" w:bidi="hi-IN"/>
              </w:rPr>
              <w:t>С.Ю. Набоко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Реализованы мероприятия по внедрению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300000 человек</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87" w:right="-124" w:hanging="0"/>
              <w:jc w:val="left"/>
              <w:rPr>
                <w:sz w:val="20"/>
              </w:rPr>
            </w:pPr>
            <w:r>
              <w:rPr>
                <w:b w:val="false"/>
                <w:spacing w:val="0"/>
                <w:kern w:val="0"/>
                <w:sz w:val="20"/>
                <w:szCs w:val="20"/>
              </w:rPr>
              <w:t xml:space="preserve">Подготовлен </w:t>
              <w:br/>
              <w:t>статус-отчет о внедрении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обеспечивающих управление пропускной способностью и загрузкой улично-дорожной сети городов, безопасность дорожного движения и повышение качества транспортного обслуживания в соответствии с целевыми индикаторами эффективности, определенными обоснованиями локальных проектов интеллектуальных транспортных систем</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tLeast"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ФП 12</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24</w:t>
            </w:r>
          </w:p>
          <w:p>
            <w:pPr>
              <w:pStyle w:val="Normal"/>
              <w:widowControl w:val="false"/>
              <w:suppressAutoHyphens w:val="true"/>
              <w:spacing w:lineRule="auto" w:line="240" w:before="0" w:after="0"/>
              <w:ind w:left="0" w:right="0" w:hanging="0"/>
              <w:jc w:val="center"/>
              <w:rPr/>
            </w:pPr>
            <w:r>
              <w:rPr>
                <w:rFonts w:eastAsia="Tahoma" w:cs="Droid Sans Devanagari"/>
                <w:color w:val="000000"/>
                <w:spacing w:val="0"/>
                <w:kern w:val="0"/>
                <w:sz w:val="20"/>
                <w:szCs w:val="20"/>
                <w:shd w:fill="auto" w:val="clear"/>
                <w:lang w:val="ru-RU" w:eastAsia="zh-CN" w:bidi="hi-IN"/>
              </w:rPr>
              <w:t>Ф</w:t>
            </w:r>
            <w:r>
              <w:rPr>
                <w:color w:val="000000"/>
                <w:spacing w:val="0"/>
                <w:kern w:val="0"/>
                <w:sz w:val="20"/>
                <w:szCs w:val="20"/>
                <w:shd w:fill="auto" w:val="clear"/>
              </w:rPr>
              <w:t>П 34</w:t>
            </w:r>
          </w:p>
        </w:tc>
      </w:tr>
      <w:tr>
        <w:trPr>
          <w:trHeight w:val="1793" w:hRule="atLeast"/>
        </w:trPr>
        <w:tc>
          <w:tcPr>
            <w:tcW w:w="15086" w:type="dxa"/>
            <w:gridSpan w:val="16"/>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Цель 7. Повышение эффективности государственного управления в сфере транспортного комплекса</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Ответственные исполнители:</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первый заместитель Министра транспорта Российской Федерации А.А. Костюк</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статс-секретарь – заместитель министра транспорта Российской Федерации Д.С. Зверев,</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В.А. Токарев,</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И.П. Чалик,</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А.И. Пошивай,</w:t>
            </w:r>
          </w:p>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заместитель Министра транспорта Российской Федерации А.В. Суханов</w:t>
            </w:r>
          </w:p>
        </w:tc>
      </w:tr>
      <w:tr>
        <w:trPr>
          <w:trHeight w:val="219"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7.1. Совершенствование нормативной правовой деятельности</w:t>
            </w:r>
          </w:p>
        </w:tc>
      </w:tr>
      <w:tr>
        <w:trPr>
          <w:trHeight w:val="1809"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7.1.1. </w:t>
            </w:r>
            <w:r>
              <w:rPr>
                <w:color w:val="000000"/>
                <w:spacing w:val="0"/>
                <w:kern w:val="0"/>
                <w:sz w:val="20"/>
                <w:szCs w:val="20"/>
              </w:rPr>
              <w:t>Разработка Плана законопроектной деятельности Министерства транспорта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Малышева</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Утверждение Плана законопроектной деятельности Министерства транспорта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Принятие ведомственного акта Министерства транспорта Российской Федерации</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ИП 1</w:t>
            </w:r>
          </w:p>
        </w:tc>
      </w:tr>
      <w:tr>
        <w:trPr>
          <w:trHeight w:val="375"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7.1.2. </w:t>
            </w:r>
            <w:r>
              <w:rPr>
                <w:color w:val="000000"/>
                <w:spacing w:val="0"/>
                <w:kern w:val="0"/>
                <w:sz w:val="20"/>
                <w:szCs w:val="20"/>
              </w:rPr>
              <w:t>Реализация Плана законопроектной деятельности Министерства транспорта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Директора департаментов Министерства транспорта Российской Федерации ответственные за реализацию законопроектов, предусмотренных Планом законопроектной деятельности Министерства транспорта Российской Федерации;</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Малышева</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Нормативное правовое обеспечение реализации задач развития транспортного комплекса</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Принятые нормативные правовые акты</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ИП 1</w:t>
            </w:r>
          </w:p>
        </w:tc>
      </w:tr>
      <w:tr>
        <w:trPr>
          <w:trHeight w:val="375"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shd w:fill="auto" w:val="clear"/>
              </w:rPr>
              <w:t xml:space="preserve">Мероприятие 7.1.3. </w:t>
            </w:r>
            <w:r>
              <w:rPr>
                <w:color w:val="000000"/>
                <w:spacing w:val="0"/>
                <w:kern w:val="0"/>
                <w:sz w:val="20"/>
                <w:szCs w:val="20"/>
                <w:shd w:fill="auto" w:val="clear"/>
              </w:rPr>
              <w:t>Реализация Плана мероприятий по внесению в законодательство Российской Федерации изменений, касающихся регулирования оборота и применения робототехнических</w:t>
            </w:r>
            <w:r>
              <w:rPr>
                <w:color w:val="000000"/>
                <w:spacing w:val="0"/>
                <w:kern w:val="0"/>
                <w:sz w:val="20"/>
                <w:szCs w:val="20"/>
              </w:rPr>
              <w:t xml:space="preserve"> комплексов (систем) воздушного, наземного и морского базирования, предусматривающих ограничения на их несанкционированное использование.</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Д.В. Баканов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С.А. Петрова</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Г.А. Волков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И.С. Забралов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Росавиация</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В.Ф. Басаргин</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В.Л. Филиппов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К.Г. Пальников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Е.Г. Трунин</w:t>
            </w:r>
          </w:p>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В.П. Петушенко</w:t>
            </w:r>
          </w:p>
          <w:p>
            <w:pPr>
              <w:pStyle w:val="Normal"/>
              <w:widowControl w:val="false"/>
              <w:suppressAutoHyphens w:val="true"/>
              <w:spacing w:lineRule="auto" w:line="240" w:before="0" w:after="0"/>
              <w:ind w:left="0" w:right="0" w:hanging="0"/>
              <w:jc w:val="both"/>
              <w:rPr>
                <w:spacing w:val="0"/>
                <w:kern w:val="0"/>
                <w:sz w:val="20"/>
                <w:szCs w:val="20"/>
                <w:shd w:fill="auto" w:val="clear"/>
              </w:rPr>
            </w:pPr>
            <w:r>
              <w:rPr>
                <w:spacing w:val="0"/>
                <w:kern w:val="0"/>
                <w:sz w:val="20"/>
                <w:szCs w:val="20"/>
                <w:shd w:fill="auto" w:val="clear"/>
              </w:rPr>
              <w:t>А.И. Пошивай</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Утверждены проекты нормативных правовых актов, других актов</w:t>
              <w:br/>
              <w:t>и документов, предусмотренных планом мероприятий</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87" w:right="-124" w:hanging="0"/>
              <w:jc w:val="left"/>
              <w:rPr>
                <w:color w:val="000000"/>
                <w:spacing w:val="0"/>
                <w:kern w:val="0"/>
                <w:sz w:val="20"/>
                <w:szCs w:val="20"/>
              </w:rPr>
            </w:pPr>
            <w:r>
              <w:rPr>
                <w:color w:val="000000"/>
                <w:spacing w:val="0"/>
                <w:kern w:val="0"/>
                <w:sz w:val="20"/>
                <w:szCs w:val="20"/>
              </w:rPr>
              <w:t>В соответствии</w:t>
              <w:br/>
              <w:t>с контрольными результатами реализации плана мероприятий</w:t>
            </w:r>
          </w:p>
          <w:p>
            <w:pPr>
              <w:pStyle w:val="Normal"/>
              <w:widowControl w:val="false"/>
              <w:suppressAutoHyphens w:val="true"/>
              <w:spacing w:lineRule="auto" w:line="240" w:before="0" w:after="0"/>
              <w:ind w:left="-87" w:right="-124" w:hanging="0"/>
              <w:jc w:val="left"/>
              <w:rPr/>
            </w:pPr>
            <w:r>
              <w:rPr>
                <w:color w:val="000000"/>
                <w:spacing w:val="0"/>
                <w:kern w:val="0"/>
                <w:sz w:val="20"/>
                <w:szCs w:val="20"/>
              </w:rPr>
              <w:t xml:space="preserve">по внесению в законодательство Российской Федерации изменений, касающихся регулирования оборота </w:t>
              <w:br/>
              <w:t xml:space="preserve">и применения робототехнических комплексов (систем) воздушного, наземного </w:t>
              <w:br/>
              <w:t xml:space="preserve">и морского базирования, предусматривающих ограничения </w:t>
              <w:br/>
              <w:t xml:space="preserve">на их </w:t>
            </w:r>
            <w:r>
              <w:rPr>
                <w:color w:val="000000"/>
                <w:spacing w:val="0"/>
                <w:kern w:val="0"/>
                <w:sz w:val="19"/>
                <w:szCs w:val="20"/>
              </w:rPr>
              <w:t>несанкционированное</w:t>
            </w:r>
            <w:r>
              <w:rPr>
                <w:color w:val="000000"/>
                <w:spacing w:val="0"/>
                <w:kern w:val="0"/>
                <w:sz w:val="20"/>
                <w:szCs w:val="20"/>
              </w:rPr>
              <w:t xml:space="preserve"> использование</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ИП 2</w:t>
            </w:r>
          </w:p>
        </w:tc>
      </w:tr>
      <w:tr>
        <w:trPr>
          <w:trHeight w:val="78"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7.2. Управление реализацией стратегических документов в сфере транспорта</w:t>
            </w:r>
          </w:p>
        </w:tc>
      </w:tr>
      <w:tr>
        <w:trPr>
          <w:trHeight w:val="1544"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7.2.1. </w:t>
            </w:r>
            <w:r>
              <w:rPr>
                <w:color w:val="000000"/>
                <w:spacing w:val="0"/>
                <w:kern w:val="0"/>
                <w:sz w:val="20"/>
                <w:szCs w:val="20"/>
              </w:rPr>
              <w:t xml:space="preserve">Мониторинг реализации Транспортной стратегии Российской Федерации </w:t>
              <w:br/>
              <w:t>на период до 2030 года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В.В. Грушников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Повышение эффективности достижения целей, решения задач и реализации мероприятий Транспортной стратегии Российской Федерации на период до 2030 года</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center"/>
              <w:rPr>
                <w:color w:val="000000"/>
                <w:sz w:val="20"/>
              </w:rPr>
            </w:pPr>
            <w:r>
              <w:rPr>
                <w:color w:val="000000"/>
                <w:sz w:val="20"/>
              </w:rPr>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ТС РФ 1</w:t>
            </w:r>
          </w:p>
        </w:tc>
      </w:tr>
      <w:tr>
        <w:trPr>
          <w:trHeight w:val="1544" w:hRule="atLeast"/>
        </w:trPr>
        <w:tc>
          <w:tcPr>
            <w:tcW w:w="2536" w:type="dxa"/>
            <w:tcBorders>
              <w:left w:val="single" w:sz="4" w:space="0" w:color="000000"/>
              <w:bottom w:val="single" w:sz="4" w:space="0" w:color="000000"/>
              <w:right w:val="single" w:sz="4" w:space="0" w:color="000000"/>
            </w:tcBorders>
          </w:tcPr>
          <w:p>
            <w:pPr>
              <w:pStyle w:val="Style30"/>
              <w:keepNext w:val="true"/>
              <w:widowControl w:val="false"/>
              <w:suppressAutoHyphens w:val="true"/>
              <w:spacing w:lineRule="auto" w:line="240" w:before="0" w:after="0"/>
              <w:ind w:left="0" w:right="0" w:hanging="0"/>
              <w:jc w:val="both"/>
              <w:rPr/>
            </w:pPr>
            <w:r>
              <w:rPr>
                <w:sz w:val="20"/>
                <w:szCs w:val="20"/>
              </w:rPr>
              <w:t>Мониторинг реализации Транспортной стратегии Российской Федерации до 2030 года с прогнозом на период до 2035 года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rFonts w:eastAsia="Tahoma" w:cs="Droid Sans Devanagari"/>
                <w:b w:val="false"/>
                <w:bCs w:val="false"/>
                <w:color w:val="000000"/>
                <w:spacing w:val="0"/>
                <w:kern w:val="0"/>
                <w:sz w:val="20"/>
                <w:szCs w:val="20"/>
                <w:lang w:val="ru-RU" w:eastAsia="zh-CN" w:bidi="hi-IN"/>
              </w:rPr>
              <w:t>В.В. Грушников</w:t>
            </w:r>
          </w:p>
        </w:tc>
        <w:tc>
          <w:tcPr>
            <w:tcW w:w="2426" w:type="dxa"/>
            <w:gridSpan w:val="3"/>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Повышение эффективности достижения целей, решения задач и реализации мероприятий Транспортной стратегии Российской Федерации  до 2030 года с прогнозом на период до 2035 года</w:t>
            </w:r>
          </w:p>
        </w:tc>
        <w:tc>
          <w:tcPr>
            <w:tcW w:w="184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center"/>
              <w:rPr>
                <w:color w:val="000000"/>
                <w:sz w:val="20"/>
              </w:rPr>
            </w:pPr>
            <w:r>
              <w:rPr>
                <w:color w:val="000000"/>
                <w:sz w:val="20"/>
              </w:rPr>
            </w:r>
          </w:p>
        </w:tc>
        <w:tc>
          <w:tcPr>
            <w:tcW w:w="139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1311"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ТС РФ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КПМ 4</w:t>
            </w:r>
          </w:p>
        </w:tc>
      </w:tr>
      <w:tr>
        <w:trPr>
          <w:trHeight w:val="2094"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7.2.2. </w:t>
            </w:r>
            <w:r>
              <w:rPr>
                <w:color w:val="000000"/>
                <w:spacing w:val="0"/>
                <w:kern w:val="0"/>
                <w:sz w:val="20"/>
                <w:szCs w:val="20"/>
              </w:rPr>
              <w:t>Разработка прогноза социально-экономического развития Российской Федерации в части транспортного комплекса на среднесрочный период</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В.В. Грушников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Определение параметров развития транспортной системы на среднесрочный период в соответствии с макроэкономическими сценариями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both"/>
              <w:rPr>
                <w:color w:val="000000"/>
                <w:spacing w:val="0"/>
                <w:kern w:val="0"/>
                <w:sz w:val="20"/>
                <w:szCs w:val="20"/>
              </w:rPr>
            </w:pPr>
            <w:r>
              <w:rPr>
                <w:color w:val="000000"/>
                <w:spacing w:val="0"/>
                <w:kern w:val="0"/>
                <w:sz w:val="20"/>
                <w:szCs w:val="20"/>
              </w:rPr>
              <w:t>Разработан прогноз социально-экономического развития Российской Федерации в части транспортного комплекса на среднесрочный период</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ИД СП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КМП 4</w:t>
            </w:r>
          </w:p>
        </w:tc>
      </w:tr>
      <w:tr>
        <w:trPr>
          <w:trHeight w:val="2771"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7.2.3. </w:t>
            </w:r>
            <w:r>
              <w:rPr>
                <w:color w:val="000000"/>
                <w:spacing w:val="0"/>
                <w:kern w:val="0"/>
                <w:sz w:val="20"/>
                <w:szCs w:val="20"/>
              </w:rPr>
              <w:t>Разработка Публичной декларации ключевых целей и приоритетных задач Министерства транспорта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В.В. Грушников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А.С. Бакирей</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А.А. Демьянов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Ересько</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Д.А. Киселева</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В.В. Клюев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М.А. Кокаев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Малышева</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К.А. Пашков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С.А. Петрова</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Д.А. Поплаухин</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А.А. Сапетко</w:t>
            </w:r>
          </w:p>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А.А. Федорчук</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А.В. Шилов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Разработана Публичная декларация ключевых целей и приоритетных задач Министерства транспорта Российской Федерации на очередной год</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both"/>
              <w:rPr>
                <w:color w:val="000000"/>
                <w:spacing w:val="0"/>
                <w:kern w:val="0"/>
                <w:sz w:val="20"/>
                <w:szCs w:val="20"/>
              </w:rPr>
            </w:pPr>
            <w:r>
              <w:rPr>
                <w:color w:val="000000"/>
                <w:spacing w:val="0"/>
                <w:kern w:val="0"/>
                <w:sz w:val="20"/>
                <w:szCs w:val="20"/>
              </w:rPr>
              <w:t xml:space="preserve">Утверждена Публичная декларация ключевых целей </w:t>
              <w:br/>
              <w:t xml:space="preserve">и приоритетных задач Министерства транспорта Российской Федерации </w:t>
              <w:br/>
              <w:t>на очередной год</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ПД 2</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7.2.4. </w:t>
            </w:r>
            <w:r>
              <w:rPr>
                <w:color w:val="000000"/>
                <w:spacing w:val="0"/>
                <w:kern w:val="0"/>
                <w:sz w:val="20"/>
                <w:szCs w:val="20"/>
              </w:rPr>
              <w:t>Подготовка Годового отчета о ходе реализации пилотной государственной программы Российской Федерации «Развитие транспортной системы» и об оценке ее эффективности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Д.А. Киселева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А.С. Бакирей</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В.В. Грушников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А.А. Демьянов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Ересько</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В.В. Клюев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М.А. Кокаев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Малышева</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К.А. Пашков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С.А. Петрова</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Д.А. Поплаухин</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А.А. Сапетко</w:t>
            </w:r>
          </w:p>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А.А. Федорчук</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Шилов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Подготовлен Годовой отчет  о ходе реализации пилотной  государственной программы Российской Федерации «Развитие транспортной системы» и об оценке ее эффективности для направления</w:t>
              <w:br/>
              <w:t>в Правительство Российской Федерации, Минэкономразвития России, Минфин России в установленном порядке</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87" w:right="-124" w:hanging="0"/>
              <w:jc w:val="left"/>
              <w:rPr>
                <w:sz w:val="20"/>
              </w:rPr>
            </w:pPr>
            <w:r>
              <w:rPr>
                <w:spacing w:val="0"/>
                <w:kern w:val="0"/>
                <w:sz w:val="20"/>
                <w:szCs w:val="20"/>
              </w:rPr>
              <w:t>Годовой отчет о ходе реализации пилотной государственной программы Российской Федерации «Развитие транспортной системы» и об оценке ее эффективности направлен в Правительство Российской Федерации, Минэкономразвития России, Минфин России в установленном порядке</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II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ПД 3</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7.2.5. </w:t>
            </w:r>
            <w:r>
              <w:rPr>
                <w:color w:val="000000"/>
                <w:spacing w:val="0"/>
                <w:kern w:val="0"/>
                <w:sz w:val="20"/>
                <w:szCs w:val="20"/>
              </w:rPr>
              <w:t>Разработка схемы территориального планирования Российской Федерации в области федерального транспорта (железнодорожного, воздушного, морского, внутреннего водного транспорта) и автомобильных дорог федерального значения и внесение в нее изменений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 xml:space="preserve">В.В. Грушников </w:t>
            </w:r>
          </w:p>
        </w:tc>
        <w:tc>
          <w:tcPr>
            <w:tcW w:w="2426" w:type="dxa"/>
            <w:gridSpan w:val="3"/>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both"/>
              <w:rPr>
                <w:color w:val="000000"/>
                <w:sz w:val="20"/>
              </w:rPr>
            </w:pPr>
            <w:r>
              <w:rPr>
                <w:color w:val="000000"/>
                <w:spacing w:val="0"/>
                <w:kern w:val="0"/>
                <w:sz w:val="20"/>
                <w:szCs w:val="20"/>
              </w:rPr>
              <w:t xml:space="preserve">Утвержденные в установленном порядке акты позволят реализовать положения Градостроительного кодекса Российской Федерации, Земельного кодекса Российской Федерации, Федерального закона </w:t>
              <w:br/>
              <w:t xml:space="preserve">от 21.12.2004 № 172-ФЗ </w:t>
              <w:br/>
              <w:t xml:space="preserve">«О переводе земель или земельных участков из одной категории в другую», Федерального закона от 29.12.2004 </w:t>
              <w:br/>
              <w:t xml:space="preserve">№ 191-ФЗ «О введении в действие Градостроительного кодекса Российской Федерации» и Федерального закона </w:t>
              <w:br/>
              <w:t>от 08.11.2007 № 261-ФЗ «О морских портах в Российской Федерации и о внесении изменений в отдельные законодательные акты Российской Федерации», обеспечат органам государственной власти, органам местного самоуправления возможность принимать решения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 в целях размещения объектов федерального значения, о разработке документации по планировке территории в целях размещения объектов федерального значения и выдаче разрешений на строительство объектов капитального строительства, о строительстве или расширении морского порта</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3" w:right="0" w:hanging="0"/>
              <w:jc w:val="both"/>
              <w:rPr>
                <w:spacing w:val="0"/>
                <w:kern w:val="0"/>
                <w:sz w:val="20"/>
                <w:szCs w:val="20"/>
              </w:rPr>
            </w:pPr>
            <w:r>
              <w:rPr>
                <w:spacing w:val="0"/>
                <w:kern w:val="0"/>
                <w:sz w:val="20"/>
                <w:szCs w:val="20"/>
              </w:rPr>
              <w:t>Приняты распоряжения Правительства Российской Федерации</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СПР РФ</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ТС РФ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ТС РФ 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СР ЖТ</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НП 1</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ПД 1</w:t>
            </w:r>
          </w:p>
        </w:tc>
      </w:tr>
      <w:tr>
        <w:trPr>
          <w:trHeight w:val="85"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Направление (блок мероприятий) 7.3. Содействие инновационному развитию транспортного комплекса</w:t>
            </w:r>
          </w:p>
        </w:tc>
      </w:tr>
      <w:tr>
        <w:trPr>
          <w:trHeight w:val="323"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7.3.1. </w:t>
            </w:r>
            <w:r>
              <w:rPr>
                <w:color w:val="000000"/>
                <w:spacing w:val="0"/>
                <w:kern w:val="0"/>
                <w:sz w:val="20"/>
                <w:szCs w:val="20"/>
              </w:rPr>
              <w:t xml:space="preserve">Осуществление государственных закупок инновационных видов продукции, в том числе из Перечня, </w:t>
            </w:r>
            <w:r>
              <w:rPr>
                <w:color w:val="000000"/>
                <w:spacing w:val="0"/>
                <w:kern w:val="0"/>
                <w:position w:val="0"/>
                <w:sz w:val="20"/>
                <w:sz w:val="20"/>
                <w:szCs w:val="20"/>
                <w:vertAlign w:val="baseline"/>
              </w:rPr>
              <w:t>рекомендованного</w:t>
            </w:r>
            <w:r>
              <w:rPr>
                <w:color w:val="000000"/>
                <w:spacing w:val="0"/>
                <w:kern w:val="0"/>
                <w:sz w:val="20"/>
                <w:szCs w:val="20"/>
              </w:rPr>
              <w:t xml:space="preserve"> Рабочей группой Министерства транспорта Российской Федерации по импортозамещению и повышению инновационности государственных закупок в транспортном комплексе</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Р.В. Новиков</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Нерадько</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И.Ю. Коваль</w:t>
            </w:r>
          </w:p>
          <w:p>
            <w:pPr>
              <w:pStyle w:val="Normal"/>
              <w:widowControl w:val="false"/>
              <w:suppressAutoHyphens w:val="true"/>
              <w:spacing w:lineRule="auto" w:line="240" w:before="0" w:after="0"/>
              <w:ind w:left="0" w:right="0" w:hanging="0"/>
              <w:jc w:val="both"/>
              <w:rPr>
                <w:b w:val="false"/>
                <w:b w:val="false"/>
                <w:bCs w:val="false"/>
                <w:color w:val="000000"/>
                <w:spacing w:val="0"/>
                <w:kern w:val="0"/>
                <w:sz w:val="20"/>
                <w:szCs w:val="20"/>
              </w:rPr>
            </w:pPr>
            <w:r>
              <w:rPr>
                <w:b w:val="false"/>
                <w:bCs w:val="false"/>
                <w:color w:val="000000"/>
                <w:spacing w:val="0"/>
                <w:kern w:val="0"/>
                <w:sz w:val="20"/>
                <w:szCs w:val="20"/>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Повышение уровня научно-технического развития транспортной системы</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left"/>
              <w:rPr>
                <w:b w:val="false"/>
                <w:b w:val="false"/>
                <w:color w:val="000000"/>
                <w:spacing w:val="0"/>
                <w:kern w:val="0"/>
                <w:sz w:val="20"/>
                <w:szCs w:val="20"/>
              </w:rPr>
            </w:pPr>
            <w:r>
              <w:rPr>
                <w:b w:val="false"/>
                <w:color w:val="000000"/>
                <w:spacing w:val="0"/>
                <w:kern w:val="0"/>
                <w:sz w:val="20"/>
                <w:szCs w:val="20"/>
              </w:rPr>
              <w:t>Отчет о выполнении планов показателей деятельности федеральной службы и федеральных агентств</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ТС РФ 1</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КПМ 4</w:t>
            </w:r>
          </w:p>
        </w:tc>
      </w:tr>
      <w:tr>
        <w:trPr>
          <w:trHeight w:val="1084" w:hRule="atLeast"/>
        </w:trPr>
        <w:tc>
          <w:tcPr>
            <w:tcW w:w="2536" w:type="dxa"/>
            <w:tcBorders>
              <w:top w:val="single" w:sz="4" w:space="0" w:color="000000"/>
              <w:left w:val="single" w:sz="4" w:space="0" w:color="000000"/>
              <w:bottom w:val="single" w:sz="4" w:space="0" w:color="000000"/>
              <w:right w:val="single" w:sz="4" w:space="0" w:color="000000"/>
            </w:tcBorders>
          </w:tcPr>
          <w:p>
            <w:pPr>
              <w:pStyle w:val="ConsPlusNormal1"/>
              <w:keepNext w:val="true"/>
              <w:widowControl w:val="false"/>
              <w:suppressAutoHyphens w:val="true"/>
              <w:spacing w:lineRule="auto" w:line="240" w:before="0" w:after="0"/>
              <w:ind w:left="0" w:right="0" w:hanging="0"/>
              <w:jc w:val="both"/>
              <w:rPr/>
            </w:pPr>
            <w:r>
              <w:rPr>
                <w:rFonts w:eastAsia="Tahoma" w:cs="Droid Sans Devanagari" w:ascii="Times New Roman" w:hAnsi="Times New Roman"/>
                <w:b/>
                <w:color w:val="000000"/>
                <w:spacing w:val="0"/>
                <w:kern w:val="0"/>
                <w:sz w:val="20"/>
                <w:szCs w:val="20"/>
                <w:shd w:fill="auto" w:val="clear"/>
                <w:lang w:val="ru-RU" w:eastAsia="zh-CN" w:bidi="hi-IN"/>
              </w:rPr>
              <w:t xml:space="preserve">Мероприятие 7.3.2. </w:t>
            </w:r>
            <w:r>
              <w:rPr>
                <w:rFonts w:eastAsia="Tahoma" w:cs="Droid Sans Devanagari" w:ascii="Times New Roman" w:hAnsi="Times New Roman"/>
                <w:color w:val="000000"/>
                <w:spacing w:val="0"/>
                <w:kern w:val="0"/>
                <w:sz w:val="20"/>
                <w:szCs w:val="20"/>
                <w:shd w:fill="auto" w:val="clear"/>
                <w:lang w:val="ru-RU" w:eastAsia="zh-CN" w:bidi="hi-IN"/>
              </w:rPr>
              <w:t>Повышение доли закупок у субъектов малого предпринимательства</w:t>
              <w:br/>
              <w:t>и социально ориентированных некоммерческих организаций в совокупном годовом объеме закупок</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b/>
                <w:b/>
                <w:color w:val="000000"/>
                <w:spacing w:val="0"/>
                <w:kern w:val="0"/>
                <w:sz w:val="20"/>
                <w:szCs w:val="20"/>
                <w:shd w:fill="auto" w:val="clear"/>
                <w:lang w:val="ru-RU" w:eastAsia="zh-CN" w:bidi="hi-IN"/>
              </w:rPr>
            </w:pPr>
            <w:r>
              <w:rPr>
                <w:rFonts w:eastAsia="Tahoma" w:cs="Droid Sans Devanagari" w:ascii="Times New Roman" w:hAnsi="Times New Roman"/>
                <w:b/>
                <w:color w:val="000000"/>
                <w:spacing w:val="0"/>
                <w:kern w:val="0"/>
                <w:sz w:val="20"/>
                <w:szCs w:val="20"/>
                <w:shd w:fill="auto" w:val="clear"/>
                <w:lang w:val="ru-RU" w:eastAsia="zh-CN" w:bidi="hi-IN"/>
              </w:rPr>
              <w:t>Ответственный исполнитель: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Т.В. Горбачик</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Д.В. Баканов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А.С. Бакирей</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К.А. Пашков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rPr>
                <w:sz w:val="20"/>
                <w:szCs w:val="20"/>
              </w:rPr>
            </w:pPr>
            <w:r>
              <w:rPr>
                <w:sz w:val="20"/>
                <w:szCs w:val="20"/>
              </w:rPr>
              <w:t>Достижение уровня контрольного показателя № 3 реализации плана развития конкуренции в отраслях экономики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left"/>
              <w:rPr/>
            </w:pPr>
            <w:r>
              <w:rPr>
                <w:b w:val="false"/>
                <w:color w:val="000000"/>
                <w:spacing w:val="0"/>
                <w:kern w:val="0"/>
                <w:sz w:val="20"/>
                <w:szCs w:val="20"/>
                <w:shd w:fill="auto" w:val="clear"/>
              </w:rPr>
              <w:t xml:space="preserve">Отчет </w:t>
            </w:r>
            <w:r>
              <w:rPr>
                <w:color w:val="000000"/>
                <w:spacing w:val="0"/>
                <w:kern w:val="0"/>
                <w:sz w:val="20"/>
                <w:szCs w:val="20"/>
                <w:shd w:fill="auto" w:val="clear"/>
              </w:rPr>
              <w:t>Министерства транспорта Российской Федерации</w:t>
            </w:r>
            <w:r>
              <w:rPr>
                <w:b w:val="false"/>
                <w:color w:val="000000"/>
                <w:spacing w:val="0"/>
                <w:kern w:val="0"/>
                <w:sz w:val="20"/>
                <w:szCs w:val="20"/>
                <w:shd w:fill="auto" w:val="clear"/>
              </w:rPr>
              <w:t xml:space="preserve"> об объеме закупок у субъектов малого предпринимательства и социально ориентированных некоммерческих организаций</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УП 2</w:t>
            </w:r>
          </w:p>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ПД 7</w:t>
            </w:r>
          </w:p>
        </w:tc>
      </w:tr>
      <w:tr>
        <w:trPr>
          <w:trHeight w:val="1084" w:hRule="atLeast"/>
        </w:trPr>
        <w:tc>
          <w:tcPr>
            <w:tcW w:w="2536" w:type="dxa"/>
            <w:tcBorders>
              <w:top w:val="single" w:sz="4" w:space="0" w:color="000000"/>
              <w:left w:val="single" w:sz="4" w:space="0" w:color="000000"/>
              <w:bottom w:val="single" w:sz="4" w:space="0" w:color="000000"/>
              <w:right w:val="single" w:sz="4" w:space="0" w:color="000000"/>
            </w:tcBorders>
          </w:tcPr>
          <w:p>
            <w:pPr>
              <w:pStyle w:val="ConsPlusNormal1"/>
              <w:keepNext w:val="true"/>
              <w:widowControl w:val="false"/>
              <w:suppressAutoHyphens w:val="true"/>
              <w:spacing w:lineRule="auto" w:line="240" w:before="0" w:after="0"/>
              <w:ind w:left="0" w:right="0" w:hanging="0"/>
              <w:jc w:val="left"/>
              <w:rPr/>
            </w:pPr>
            <w:r>
              <w:rPr>
                <w:rFonts w:eastAsia="Tahoma" w:cs="Droid Sans Devanagari" w:ascii="Times New Roman" w:hAnsi="Times New Roman"/>
                <w:b/>
                <w:color w:val="000000"/>
                <w:spacing w:val="0"/>
                <w:kern w:val="0"/>
                <w:sz w:val="20"/>
                <w:szCs w:val="20"/>
                <w:shd w:fill="auto" w:val="clear"/>
                <w:lang w:val="ru-RU" w:eastAsia="zh-CN" w:bidi="hi-IN"/>
              </w:rPr>
              <w:t xml:space="preserve">Мероприятие 7.3.3. </w:t>
            </w:r>
            <w:r>
              <w:rPr>
                <w:rFonts w:eastAsia="Tahoma" w:cs="Droid Sans Devanagari" w:ascii="Times New Roman" w:hAnsi="Times New Roman"/>
                <w:b w:val="false"/>
                <w:bCs w:val="false"/>
                <w:color w:val="000000"/>
                <w:spacing w:val="0"/>
                <w:kern w:val="0"/>
                <w:sz w:val="20"/>
                <w:szCs w:val="20"/>
                <w:shd w:fill="auto" w:val="clear"/>
                <w:lang w:val="ru-RU" w:eastAsia="zh-CN" w:bidi="hi-IN"/>
              </w:rPr>
              <w:t>Обеспечение</w:t>
            </w:r>
            <w:r>
              <w:rPr>
                <w:rFonts w:eastAsia="Tahoma" w:cs="Droid Sans Devanagari" w:ascii="Times New Roman" w:hAnsi="Times New Roman"/>
                <w:b/>
                <w:color w:val="000000"/>
                <w:spacing w:val="0"/>
                <w:kern w:val="0"/>
                <w:sz w:val="20"/>
                <w:szCs w:val="20"/>
                <w:shd w:fill="auto" w:val="clear"/>
                <w:lang w:val="ru-RU" w:eastAsia="zh-CN" w:bidi="hi-IN"/>
              </w:rPr>
              <w:t xml:space="preserve"> </w:t>
            </w:r>
            <w:r>
              <w:rPr>
                <w:rFonts w:eastAsia="Tahoma" w:cs="Droid Sans Devanagari" w:ascii="Times New Roman" w:hAnsi="Times New Roman"/>
                <w:b w:val="false"/>
                <w:bCs w:val="false"/>
                <w:color w:val="000000"/>
                <w:spacing w:val="0"/>
                <w:kern w:val="0"/>
                <w:sz w:val="20"/>
                <w:szCs w:val="20"/>
                <w:shd w:fill="auto" w:val="clear"/>
                <w:lang w:val="ru-RU" w:eastAsia="zh-CN" w:bidi="hi-IN"/>
              </w:rPr>
              <w:t>доли закупок у субъектов малого предпринимательства</w:t>
              <w:br/>
              <w:t>и социально ориентированных некоммерческих организаций в совокупном годовом объеме закупок</w:t>
              <w:br/>
              <w:t>в соответствии с законодательством Российской Федерации</w:t>
              <w:br/>
              <w:t xml:space="preserve">о контрактной системе в сфере закупок </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b/>
                <w:b/>
                <w:color w:val="000000"/>
                <w:spacing w:val="0"/>
                <w:kern w:val="0"/>
                <w:sz w:val="20"/>
                <w:szCs w:val="20"/>
                <w:shd w:fill="auto" w:val="clear"/>
                <w:lang w:val="ru-RU" w:eastAsia="zh-CN" w:bidi="hi-IN"/>
              </w:rPr>
            </w:pPr>
            <w:r>
              <w:rPr>
                <w:rFonts w:eastAsia="Tahoma" w:cs="Droid Sans Devanagari" w:ascii="Times New Roman" w:hAnsi="Times New Roman"/>
                <w:b/>
                <w:color w:val="000000"/>
                <w:spacing w:val="0"/>
                <w:kern w:val="0"/>
                <w:sz w:val="20"/>
                <w:szCs w:val="20"/>
                <w:shd w:fill="auto" w:val="clear"/>
                <w:lang w:val="ru-RU" w:eastAsia="zh-CN" w:bidi="hi-IN"/>
              </w:rPr>
              <w:t>Ответственный исполнитель: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В.В. Грушников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А.С. Бакирей</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К.А. Пашков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Д.А. Поплаухин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pPr>
            <w:r>
              <w:rPr>
                <w:rFonts w:eastAsia="Tahoma" w:cs="Droid Sans Devanagari"/>
                <w:strike w:val="false"/>
                <w:dstrike w:val="false"/>
                <w:color w:val="000000"/>
                <w:spacing w:val="0"/>
                <w:kern w:val="0"/>
                <w:sz w:val="20"/>
                <w:szCs w:val="20"/>
                <w:shd w:fill="auto" w:val="clear"/>
                <w:lang w:val="ru-RU" w:eastAsia="zh-CN" w:bidi="hi-IN"/>
              </w:rPr>
              <w:t>С</w:t>
            </w:r>
            <w:r>
              <w:rPr>
                <w:strike w:val="false"/>
                <w:dstrike w:val="false"/>
                <w:spacing w:val="0"/>
                <w:kern w:val="0"/>
                <w:sz w:val="20"/>
                <w:szCs w:val="20"/>
                <w:shd w:fill="auto" w:val="clear"/>
              </w:rPr>
              <w:t>облюдение требований действующего законодательства при осуществлении закупок товаров, работ, услуг для    нужд Министерства транспорта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left"/>
              <w:rPr>
                <w:b w:val="false"/>
                <w:b w:val="false"/>
                <w:color w:val="000000"/>
                <w:spacing w:val="0"/>
                <w:kern w:val="0"/>
                <w:sz w:val="20"/>
                <w:szCs w:val="20"/>
                <w:shd w:fill="auto" w:val="clear"/>
              </w:rPr>
            </w:pPr>
            <w:r>
              <w:rPr>
                <w:b w:val="false"/>
                <w:color w:val="000000"/>
                <w:spacing w:val="0"/>
                <w:kern w:val="0"/>
                <w:sz w:val="20"/>
                <w:szCs w:val="20"/>
                <w:shd w:fill="auto" w:val="clear"/>
              </w:rPr>
              <w:t>Отчет Министерства транспорта Российской Федерации об объеме закупок у субъектов малого предпринимательства и социально ориентированных некоммерческих организаций</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ПД 29</w:t>
            </w:r>
          </w:p>
        </w:tc>
      </w:tr>
      <w:tr>
        <w:trPr>
          <w:trHeight w:val="1084" w:hRule="atLeast"/>
        </w:trPr>
        <w:tc>
          <w:tcPr>
            <w:tcW w:w="2536" w:type="dxa"/>
            <w:tcBorders>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7.3.3. </w:t>
            </w:r>
            <w:r>
              <w:rPr>
                <w:color w:val="000000"/>
                <w:spacing w:val="0"/>
                <w:kern w:val="0"/>
                <w:sz w:val="20"/>
                <w:szCs w:val="20"/>
              </w:rPr>
              <w:t>Выполнение опытно-конструкторской работы по созданию опытного образца интегрированной системы пропуска через государственную границу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jc w:val="left"/>
              <w:rPr>
                <w:sz w:val="20"/>
                <w:szCs w:val="20"/>
              </w:rPr>
            </w:pPr>
            <w:r>
              <w:rPr>
                <w:sz w:val="20"/>
                <w:szCs w:val="20"/>
              </w:rPr>
              <w:t>Д.В. Баканов</w:t>
            </w:r>
          </w:p>
          <w:p>
            <w:pPr>
              <w:pStyle w:val="Normal"/>
              <w:widowControl w:val="false"/>
              <w:jc w:val="left"/>
              <w:rPr>
                <w:sz w:val="20"/>
                <w:szCs w:val="20"/>
              </w:rPr>
            </w:pPr>
            <w:r>
              <w:rPr>
                <w:sz w:val="20"/>
                <w:szCs w:val="20"/>
              </w:rPr>
            </w:r>
          </w:p>
        </w:tc>
        <w:tc>
          <w:tcPr>
            <w:tcW w:w="2426" w:type="dxa"/>
            <w:gridSpan w:val="3"/>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pPr>
            <w:r>
              <w:rPr>
                <w:color w:val="000000"/>
                <w:spacing w:val="0"/>
                <w:kern w:val="0"/>
                <w:sz w:val="20"/>
                <w:szCs w:val="20"/>
              </w:rPr>
              <w:t xml:space="preserve">Выполнение опытно-конструкторской работы по созданию опытного образца </w:t>
            </w:r>
            <w:r>
              <w:rPr>
                <w:spacing w:val="0"/>
                <w:kern w:val="0"/>
                <w:sz w:val="20"/>
                <w:szCs w:val="20"/>
              </w:rPr>
              <w:t xml:space="preserve">интегрированной системы пропуска через государственную границу Российской Федерации </w:t>
            </w:r>
            <w:r>
              <w:rPr>
                <w:color w:val="000000"/>
                <w:spacing w:val="0"/>
                <w:kern w:val="0"/>
                <w:sz w:val="20"/>
                <w:szCs w:val="20"/>
              </w:rPr>
              <w:t>в двух многосторонних автомобильных пунктах пропуска, с проведением испытаний, по результатам которых будет принято решение об оснащении многосторонних автомобильных пунктов пропуска серийными образцами</w:t>
            </w:r>
          </w:p>
        </w:tc>
        <w:tc>
          <w:tcPr>
            <w:tcW w:w="184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left"/>
              <w:rPr>
                <w:b w:val="false"/>
                <w:b w:val="false"/>
                <w:spacing w:val="0"/>
                <w:kern w:val="0"/>
                <w:sz w:val="20"/>
                <w:szCs w:val="20"/>
                <w:shd w:fill="auto" w:val="clear"/>
              </w:rPr>
            </w:pPr>
            <w:r>
              <w:rPr>
                <w:b w:val="false"/>
                <w:spacing w:val="0"/>
                <w:kern w:val="0"/>
                <w:sz w:val="20"/>
                <w:szCs w:val="20"/>
                <w:shd w:fill="auto" w:val="clear"/>
              </w:rPr>
              <w:t>Отчет о реализации ГП 24</w:t>
            </w:r>
          </w:p>
        </w:tc>
        <w:tc>
          <w:tcPr>
            <w:tcW w:w="139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Проектный</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СНБ РФ</w:t>
            </w:r>
          </w:p>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ИДК 1</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ИДК 2</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8</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9</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 xml:space="preserve">Мероприятие 7.3.4. </w:t>
            </w:r>
            <w:r>
              <w:rPr>
                <w:color w:val="000000"/>
                <w:spacing w:val="0"/>
                <w:kern w:val="0"/>
                <w:sz w:val="20"/>
                <w:szCs w:val="20"/>
              </w:rPr>
              <w:t>Развертывание в пунктах пропуска через государственную границу Российской Федерации серийных образцов интегрированной системы пропуска через государственную границу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 xml:space="preserve">Оснащение </w:t>
              <w:br/>
              <w:t>60 многосторонних автомобильных пунктов пропуска серийными образцами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left"/>
              <w:rPr/>
            </w:pPr>
            <w:r>
              <w:rPr>
                <w:b w:val="false"/>
                <w:color w:val="000000"/>
                <w:spacing w:val="0"/>
                <w:kern w:val="0"/>
                <w:sz w:val="20"/>
                <w:szCs w:val="20"/>
              </w:rPr>
              <w:t xml:space="preserve">Отчет о реализации </w:t>
            </w:r>
            <w:r>
              <w:rPr>
                <w:b w:val="false"/>
                <w:color w:val="000000"/>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19</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35" w:right="0" w:hanging="0"/>
              <w:jc w:val="center"/>
              <w:rPr>
                <w:color w:val="000000"/>
                <w:sz w:val="20"/>
              </w:rPr>
            </w:pPr>
            <w:r>
              <w:rPr>
                <w:color w:val="000000"/>
                <w:sz w:val="20"/>
              </w:rPr>
              <w:t>КПМ 3</w:t>
            </w:r>
          </w:p>
        </w:tc>
      </w:tr>
      <w:tr>
        <w:trPr>
          <w:trHeight w:val="942" w:hRule="atLeast"/>
        </w:trPr>
        <w:tc>
          <w:tcPr>
            <w:tcW w:w="2536" w:type="dxa"/>
            <w:tcBorders>
              <w:top w:val="single" w:sz="4" w:space="0" w:color="000000"/>
              <w:left w:val="single" w:sz="4" w:space="0" w:color="000000"/>
              <w:bottom w:val="single" w:sz="4" w:space="0" w:color="000000"/>
              <w:right w:val="single" w:sz="4" w:space="0" w:color="000000"/>
            </w:tcBorders>
            <w:vAlign w:val="center"/>
          </w:tcPr>
          <w:p>
            <w:pPr>
              <w:pStyle w:val="ConsPlusNormal1"/>
              <w:keepNext w:val="true"/>
              <w:widowControl w:val="false"/>
              <w:suppressAutoHyphens w:val="true"/>
              <w:spacing w:lineRule="auto" w:line="240" w:before="0" w:after="0"/>
              <w:ind w:left="0" w:right="0" w:hanging="0"/>
              <w:jc w:val="both"/>
              <w:rPr/>
            </w:pPr>
            <w:r>
              <w:rPr>
                <w:rFonts w:eastAsia="Tahoma" w:cs="Droid Sans Devanagari" w:ascii="Times New Roman" w:hAnsi="Times New Roman"/>
                <w:b/>
                <w:color w:val="000000"/>
                <w:spacing w:val="0"/>
                <w:kern w:val="0"/>
                <w:sz w:val="20"/>
                <w:szCs w:val="20"/>
                <w:lang w:val="ru-RU" w:eastAsia="zh-CN" w:bidi="hi-IN"/>
              </w:rPr>
              <w:t xml:space="preserve">Мероприятие 7.3.5. </w:t>
            </w:r>
            <w:r>
              <w:rPr>
                <w:rFonts w:eastAsia="Tahoma" w:cs="Droid Sans Devanagari" w:ascii="Times New Roman" w:hAnsi="Times New Roman"/>
                <w:color w:val="000000"/>
                <w:spacing w:val="0"/>
                <w:kern w:val="0"/>
                <w:sz w:val="20"/>
                <w:szCs w:val="20"/>
                <w:lang w:val="ru-RU" w:eastAsia="zh-CN" w:bidi="hi-IN"/>
              </w:rPr>
              <w:t>Участие в реализации планов мероприятий («дорожных карт») «Автонет», «Маринет», «Аэронет» Национальной технологической инициативы</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С.А. Петрова</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А.В. Шилов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В.В. Клюев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b w:val="false"/>
                <w:b w:val="false"/>
                <w:bCs w:val="false"/>
                <w:color w:val="000000"/>
                <w:spacing w:val="0"/>
                <w:kern w:val="0"/>
                <w:sz w:val="20"/>
                <w:szCs w:val="20"/>
                <w:lang w:val="ru-RU" w:eastAsia="zh-CN" w:bidi="hi-IN"/>
              </w:rPr>
            </w:pPr>
            <w:r>
              <w:rPr>
                <w:rFonts w:eastAsia="Tahoma" w:cs="Droid Sans Devanagari" w:ascii="Times New Roman" w:hAnsi="Times New Roman"/>
                <w:b w:val="false"/>
                <w:bCs w:val="false"/>
                <w:color w:val="000000"/>
                <w:spacing w:val="0"/>
                <w:kern w:val="0"/>
                <w:sz w:val="20"/>
                <w:szCs w:val="20"/>
                <w:lang w:val="ru-RU" w:eastAsia="zh-CN" w:bidi="hi-IN"/>
              </w:rPr>
              <w:t>Р.В. Новиков</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b w:val="false"/>
                <w:b w:val="false"/>
                <w:bCs w:val="false"/>
                <w:color w:val="000000"/>
                <w:spacing w:val="0"/>
                <w:kern w:val="0"/>
                <w:sz w:val="20"/>
                <w:szCs w:val="20"/>
                <w:lang w:val="ru-RU" w:eastAsia="zh-CN" w:bidi="hi-IN"/>
              </w:rPr>
            </w:pPr>
            <w:r>
              <w:rPr>
                <w:rFonts w:eastAsia="Tahoma" w:cs="Droid Sans Devanagari" w:ascii="Times New Roman" w:hAnsi="Times New Roman"/>
                <w:b w:val="false"/>
                <w:bCs w:val="false"/>
                <w:color w:val="000000"/>
                <w:spacing w:val="0"/>
                <w:kern w:val="0"/>
                <w:sz w:val="20"/>
                <w:szCs w:val="20"/>
                <w:lang w:val="ru-RU" w:eastAsia="zh-CN" w:bidi="hi-IN"/>
              </w:rPr>
              <w:t>А.В. Нерадько</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b w:val="false"/>
                <w:b w:val="false"/>
                <w:bCs w:val="false"/>
                <w:color w:val="000000"/>
                <w:spacing w:val="0"/>
                <w:kern w:val="0"/>
                <w:sz w:val="20"/>
                <w:szCs w:val="20"/>
                <w:lang w:val="ru-RU" w:eastAsia="zh-CN" w:bidi="hi-IN"/>
              </w:rPr>
            </w:pPr>
            <w:r>
              <w:rPr>
                <w:rFonts w:eastAsia="Tahoma" w:cs="Droid Sans Devanagari" w:ascii="Times New Roman" w:hAnsi="Times New Roman"/>
                <w:b w:val="false"/>
                <w:bCs w:val="false"/>
                <w:color w:val="000000"/>
                <w:spacing w:val="0"/>
                <w:kern w:val="0"/>
                <w:sz w:val="20"/>
                <w:szCs w:val="20"/>
                <w:lang w:val="ru-RU" w:eastAsia="zh-CN" w:bidi="hi-IN"/>
              </w:rPr>
              <w:t>И.Ю. Коваль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b w:val="false"/>
                <w:b w:val="false"/>
                <w:bCs w:val="false"/>
                <w:color w:val="000000"/>
                <w:spacing w:val="0"/>
                <w:kern w:val="0"/>
                <w:sz w:val="20"/>
                <w:szCs w:val="20"/>
                <w:lang w:val="ru-RU" w:eastAsia="zh-CN" w:bidi="hi-IN"/>
              </w:rPr>
            </w:pPr>
            <w:r>
              <w:rPr>
                <w:rFonts w:eastAsia="Tahoma" w:cs="Droid Sans Devanagari" w:ascii="Times New Roman" w:hAnsi="Times New Roman"/>
                <w:b w:val="false"/>
                <w:bCs w:val="false"/>
                <w:color w:val="000000"/>
                <w:spacing w:val="0"/>
                <w:kern w:val="0"/>
                <w:sz w:val="20"/>
                <w:szCs w:val="20"/>
                <w:lang w:val="ru-RU" w:eastAsia="zh-CN" w:bidi="hi-IN"/>
              </w:rPr>
              <w:t>А.В. Лаврищев</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В соответствии с контрольными результатами реализации планов мероприятий «дорожных карт» «Автонет», «Маринет», «Аэронет» Национальной технологической инициативы</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spacing w:val="0"/>
                <w:kern w:val="0"/>
                <w:sz w:val="20"/>
                <w:szCs w:val="20"/>
              </w:rPr>
            </w:pPr>
            <w:r>
              <w:rPr>
                <w:spacing w:val="0"/>
                <w:kern w:val="0"/>
                <w:sz w:val="20"/>
                <w:szCs w:val="20"/>
              </w:rPr>
              <w:t>В соответствии</w:t>
              <w:br/>
              <w:t>с контрольными результатами реализации планов мероприятий «дорожных карт» «Автонет», «Маринет», «Аэронет» Национальной технологической инициативы</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Проектный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ИДК 1</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ИДК 2</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ИДК 3</w:t>
            </w:r>
          </w:p>
        </w:tc>
      </w:tr>
      <w:tr>
        <w:trPr>
          <w:trHeight w:val="942" w:hRule="atLeast"/>
        </w:trPr>
        <w:tc>
          <w:tcPr>
            <w:tcW w:w="2536" w:type="dxa"/>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Мероприятие 7.3.6.</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Проведение ежегодного мониторинга стоимости строительства, реконструкции, капитального ремонта, ремонта и содержания</w:t>
              <w:br/>
              <w:t>1 км автомобильных дорог общего пользования</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А.В. Шилов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Соисполнитель:</w:t>
            </w:r>
          </w:p>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С.Ю. Набоко</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 xml:space="preserve">Реализация мониторинга стоимости строительства, </w:t>
            </w:r>
            <w:r>
              <w:rPr>
                <w:spacing w:val="0"/>
                <w:kern w:val="0"/>
                <w:sz w:val="20"/>
                <w:szCs w:val="20"/>
              </w:rPr>
              <w:t>реконструкции, капитального ремонта, ремонта и содержания</w:t>
              <w:br/>
              <w:t>1 км автомобильных дорог общего пользования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Доклад о стоимости строительства, реконструкции, капитального ремонта, ремонта и содержания</w:t>
              <w:br/>
              <w:t>1 км автомобильных дорог общего пользования Российской Федерации</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ВЦП 8</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ФП 37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ВП 4</w:t>
            </w:r>
          </w:p>
        </w:tc>
      </w:tr>
      <w:tr>
        <w:trPr>
          <w:trHeight w:val="324" w:hRule="atLeast"/>
        </w:trPr>
        <w:tc>
          <w:tcPr>
            <w:tcW w:w="15086" w:type="dxa"/>
            <w:gridSpan w:val="16"/>
            <w:tcBorders>
              <w:top w:val="single" w:sz="4" w:space="0" w:color="000000"/>
              <w:left w:val="single" w:sz="4" w:space="0" w:color="000000"/>
              <w:bottom w:val="single" w:sz="4" w:space="0" w:color="000000"/>
              <w:right w:val="single" w:sz="4" w:space="0" w:color="000000"/>
            </w:tcBorders>
            <w:vAlign w:val="center"/>
          </w:tcPr>
          <w:p>
            <w:pPr>
              <w:pStyle w:val="Normal"/>
              <w:keepNext w:val="true"/>
              <w:widowControl w:val="false"/>
              <w:suppressAutoHyphens w:val="true"/>
              <w:spacing w:lineRule="auto" w:line="240" w:before="0" w:after="0"/>
              <w:ind w:left="35" w:right="0" w:hanging="0"/>
              <w:jc w:val="center"/>
              <w:rPr>
                <w:b/>
                <w:b/>
                <w:color w:val="000000"/>
                <w:spacing w:val="0"/>
                <w:kern w:val="0"/>
                <w:sz w:val="20"/>
                <w:szCs w:val="20"/>
              </w:rPr>
            </w:pPr>
            <w:r>
              <w:rPr>
                <w:b/>
                <w:color w:val="000000"/>
                <w:spacing w:val="0"/>
                <w:kern w:val="0"/>
                <w:sz w:val="20"/>
                <w:szCs w:val="20"/>
              </w:rPr>
              <w:t>Направление (блок мероприятий) 7.4. Обеспечение безопасности информационных ресурсов Министерства транспорта Российской Федерации</w:t>
            </w:r>
          </w:p>
        </w:tc>
      </w:tr>
      <w:tr>
        <w:trPr>
          <w:trHeight w:val="1637" w:hRule="atLeast"/>
        </w:trPr>
        <w:tc>
          <w:tcPr>
            <w:tcW w:w="2536" w:type="dxa"/>
            <w:tcBorders>
              <w:top w:val="single" w:sz="4" w:space="0" w:color="000000"/>
              <w:left w:val="single" w:sz="4" w:space="0" w:color="000000"/>
              <w:bottom w:val="single" w:sz="4" w:space="0" w:color="000000"/>
              <w:right w:val="single" w:sz="4" w:space="0" w:color="000000"/>
            </w:tcBorders>
          </w:tcPr>
          <w:p>
            <w:pPr>
              <w:pStyle w:val="ConsPlusNormal1"/>
              <w:keepNext w:val="true"/>
              <w:widowControl w:val="false"/>
              <w:suppressAutoHyphens w:val="true"/>
              <w:spacing w:lineRule="auto" w:line="240" w:before="0" w:after="0"/>
              <w:ind w:left="0" w:right="0" w:hanging="0"/>
              <w:jc w:val="both"/>
              <w:rPr/>
            </w:pPr>
            <w:r>
              <w:rPr>
                <w:rFonts w:eastAsia="Tahoma" w:cs="Droid Sans Devanagari" w:ascii="Times New Roman" w:hAnsi="Times New Roman"/>
                <w:b/>
                <w:color w:val="000000"/>
                <w:spacing w:val="0"/>
                <w:kern w:val="0"/>
                <w:sz w:val="20"/>
                <w:szCs w:val="20"/>
                <w:lang w:val="ru-RU" w:eastAsia="zh-CN" w:bidi="hi-IN"/>
              </w:rPr>
              <w:t xml:space="preserve">Мероприятие 7.4.1. </w:t>
            </w:r>
            <w:r>
              <w:rPr>
                <w:rFonts w:eastAsia="Tahoma" w:cs="Droid Sans Devanagari" w:ascii="Times New Roman" w:hAnsi="Times New Roman"/>
                <w:color w:val="000000"/>
                <w:spacing w:val="0"/>
                <w:kern w:val="0"/>
                <w:sz w:val="20"/>
                <w:szCs w:val="20"/>
                <w:lang w:val="ru-RU" w:eastAsia="zh-CN" w:bidi="hi-IN"/>
              </w:rPr>
              <w:t>Создание, ввод в эксплуатацию ведомственного сегмента государственной системы обнаружения, предупреждения и ликвидации последствий компьютерных атак на информационные ресурсы Министерства транспорта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Д.А. Поплаухин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Создан и введен в эксплуатацию ведомственный сегмент государственной системы обнаружения, предупреждения и ликвидации последствий компьютерных атак на информационные ресурсы Министерства транспорта Российской Федерации</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Степень создания ведомственного сегмента государственной системы обнаружения, предупреждения и ликвидации последствий компьютерных атак на информационные ресурсы Министерства транспорта Российской Федерации, %</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100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УП 3</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УП 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УП 5</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УП 6</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УП 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10</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11</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12</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13</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15</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16</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18</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19</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20</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21</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22</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23</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25</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26</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ПД 28</w:t>
            </w:r>
          </w:p>
        </w:tc>
      </w:tr>
      <w:tr>
        <w:trPr>
          <w:trHeight w:val="272" w:hRule="atLeast"/>
        </w:trPr>
        <w:tc>
          <w:tcPr>
            <w:tcW w:w="15086" w:type="dxa"/>
            <w:gridSpan w:val="16"/>
            <w:tcBorders>
              <w:top w:val="single" w:sz="4" w:space="0" w:color="000000"/>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35" w:right="0" w:hanging="0"/>
              <w:jc w:val="center"/>
              <w:rPr>
                <w:b/>
                <w:b/>
                <w:color w:val="000000"/>
                <w:spacing w:val="0"/>
                <w:kern w:val="0"/>
                <w:sz w:val="20"/>
                <w:szCs w:val="20"/>
              </w:rPr>
            </w:pPr>
            <w:r>
              <w:rPr>
                <w:b/>
                <w:color w:val="000000"/>
                <w:spacing w:val="0"/>
                <w:kern w:val="0"/>
                <w:sz w:val="20"/>
                <w:szCs w:val="20"/>
              </w:rPr>
              <w:t>Направление (блок мероприятий) 7.5. Обеспечение органов управления транспортным комплексом информацией о состоянии и ходе развития транспортной системы, ее безопасности и устойчивости, прогнозе спроса на транспортные услуги по результатам анализа до 1600 обрабатываемых показателей</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5"/>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7.5.</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Количество показателей, обрабатываемых в централизованном банке данных информационно-аналитической системы регулирования на транспорте, характеризующих состояние транспортной системы,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1200</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1300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1400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1500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1550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1600</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ВЦП 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ФП 34</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5"/>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7.5.</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Коэффициент бесперебойной работы информационно-аналитической системы регулирования на транспорте,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99,1</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99,2</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99,3</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99,75</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99,9</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ВЦП 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ФП 34</w:t>
            </w:r>
          </w:p>
        </w:tc>
      </w:tr>
      <w:tr>
        <w:trPr>
          <w:trHeight w:val="817"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5"/>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7.5.</w:t>
            </w:r>
          </w:p>
          <w:p>
            <w:pPr>
              <w:pStyle w:val="Normal"/>
              <w:widowControl w:val="false"/>
              <w:suppressAutoHyphens w:val="true"/>
              <w:spacing w:lineRule="auto" w:line="240" w:before="0" w:after="0"/>
              <w:ind w:left="720" w:right="0" w:hanging="0"/>
              <w:jc w:val="both"/>
              <w:rPr/>
            </w:pPr>
            <w:r>
              <w:rPr>
                <w:spacing w:val="0"/>
                <w:kern w:val="0"/>
                <w:sz w:val="20"/>
                <w:szCs w:val="20"/>
              </w:rPr>
              <w:t xml:space="preserve">Количество подключенных к </w:t>
            </w:r>
            <w:r>
              <w:rPr>
                <w:color w:val="000000"/>
                <w:spacing w:val="0"/>
                <w:kern w:val="0"/>
                <w:sz w:val="20"/>
                <w:szCs w:val="20"/>
              </w:rPr>
              <w:t>информационно-аналитической системы регулирования на транспорте</w:t>
            </w:r>
            <w:r>
              <w:rPr>
                <w:spacing w:val="0"/>
                <w:kern w:val="0"/>
                <w:sz w:val="20"/>
                <w:szCs w:val="20"/>
              </w:rPr>
              <w:t xml:space="preserve"> субъектов Российской Федерации </w:t>
              <w:br/>
              <w:t>и их информационных источников, ед.</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45</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55</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65</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75</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82</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ВЦП 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ФП 34</w:t>
            </w:r>
          </w:p>
        </w:tc>
      </w:tr>
      <w:tr>
        <w:trPr>
          <w:trHeight w:val="272" w:hRule="atLeast"/>
        </w:trPr>
        <w:tc>
          <w:tcPr>
            <w:tcW w:w="8203" w:type="dxa"/>
            <w:gridSpan w:val="6"/>
            <w:tcBorders>
              <w:top w:val="single" w:sz="4" w:space="0" w:color="000000"/>
              <w:left w:val="single" w:sz="4" w:space="0" w:color="000000"/>
              <w:bottom w:val="single" w:sz="4" w:space="0" w:color="000000"/>
              <w:right w:val="single" w:sz="4" w:space="0" w:color="000000"/>
            </w:tcBorders>
          </w:tcPr>
          <w:p>
            <w:pPr>
              <w:pStyle w:val="Normal"/>
              <w:keepNext w:val="true"/>
              <w:widowControl w:val="false"/>
              <w:numPr>
                <w:ilvl w:val="0"/>
                <w:numId w:val="25"/>
              </w:numPr>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Индикатор направления (блока мероприятий) 7.5.</w:t>
            </w:r>
          </w:p>
          <w:p>
            <w:pPr>
              <w:pStyle w:val="Normal"/>
              <w:widowControl w:val="false"/>
              <w:suppressAutoHyphens w:val="true"/>
              <w:spacing w:lineRule="auto" w:line="240" w:before="0" w:after="0"/>
              <w:ind w:left="720" w:right="0" w:hanging="0"/>
              <w:jc w:val="both"/>
              <w:rPr>
                <w:color w:val="000000"/>
                <w:spacing w:val="0"/>
                <w:kern w:val="0"/>
                <w:sz w:val="20"/>
                <w:szCs w:val="20"/>
              </w:rPr>
            </w:pPr>
            <w:r>
              <w:rPr>
                <w:color w:val="000000"/>
                <w:spacing w:val="0"/>
                <w:kern w:val="0"/>
                <w:sz w:val="20"/>
                <w:szCs w:val="20"/>
              </w:rPr>
              <w:t>Количество (доля) инфраструктурных проектов в сфере транспорта, реализуемых</w:t>
              <w:br/>
              <w:t>с привлечением государственного финансирования, подготовка и/или реализация которых осуществляется с использованием системы эффективного транспортного планирования в составе информационно-аналитической системы регулирования</w:t>
              <w:br/>
              <w:t>на транспорте, %</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30</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40</w:t>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60</w:t>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85</w:t>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ГП 24</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ВЦП 7</w:t>
            </w:r>
          </w:p>
          <w:p>
            <w:pPr>
              <w:pStyle w:val="Normal"/>
              <w:widowControl w:val="false"/>
              <w:suppressAutoHyphens w:val="true"/>
              <w:spacing w:lineRule="auto" w:line="240" w:before="0" w:after="0"/>
              <w:ind w:left="35" w:right="0" w:hanging="0"/>
              <w:jc w:val="center"/>
              <w:rPr>
                <w:color w:val="000000"/>
                <w:spacing w:val="0"/>
                <w:kern w:val="0"/>
                <w:sz w:val="20"/>
                <w:szCs w:val="20"/>
              </w:rPr>
            </w:pPr>
            <w:r>
              <w:rPr>
                <w:color w:val="000000"/>
                <w:spacing w:val="0"/>
                <w:kern w:val="0"/>
                <w:sz w:val="20"/>
                <w:szCs w:val="20"/>
              </w:rPr>
              <w:t>ФП 34</w:t>
            </w:r>
          </w:p>
        </w:tc>
      </w:tr>
      <w:tr>
        <w:trPr>
          <w:trHeight w:val="272" w:hRule="atLeast"/>
        </w:trPr>
        <w:tc>
          <w:tcPr>
            <w:tcW w:w="2536" w:type="dxa"/>
            <w:tcBorders>
              <w:top w:val="single" w:sz="4" w:space="0" w:color="000000"/>
              <w:left w:val="single" w:sz="4" w:space="0" w:color="000000"/>
              <w:bottom w:val="single" w:sz="4" w:space="0" w:color="000000"/>
              <w:right w:val="single" w:sz="4" w:space="0" w:color="000000"/>
            </w:tcBorders>
          </w:tcPr>
          <w:p>
            <w:pPr>
              <w:pStyle w:val="ConsPlusNormal1"/>
              <w:keepNext w:val="true"/>
              <w:widowControl w:val="false"/>
              <w:suppressAutoHyphens w:val="true"/>
              <w:spacing w:lineRule="auto" w:line="240" w:before="0" w:after="0"/>
              <w:ind w:left="0" w:right="0" w:hanging="0"/>
              <w:jc w:val="both"/>
              <w:rPr>
                <w:rFonts w:ascii="Times New Roman" w:hAnsi="Times New Roman" w:eastAsia="Tahoma" w:cs="Droid Sans Devanagari"/>
                <w:b/>
                <w:b/>
                <w:color w:val="000000"/>
                <w:spacing w:val="0"/>
                <w:kern w:val="0"/>
                <w:sz w:val="20"/>
                <w:szCs w:val="20"/>
                <w:lang w:val="ru-RU" w:eastAsia="zh-CN" w:bidi="hi-IN"/>
              </w:rPr>
            </w:pPr>
            <w:r>
              <w:rPr>
                <w:rFonts w:eastAsia="Tahoma" w:cs="Droid Sans Devanagari" w:ascii="Times New Roman" w:hAnsi="Times New Roman"/>
                <w:b/>
                <w:color w:val="000000"/>
                <w:spacing w:val="0"/>
                <w:kern w:val="0"/>
                <w:sz w:val="20"/>
                <w:szCs w:val="20"/>
                <w:lang w:val="ru-RU" w:eastAsia="zh-CN" w:bidi="hi-IN"/>
              </w:rPr>
              <w:t>Мероприятие 7.5.1.</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lang w:val="ru-RU" w:eastAsia="zh-CN" w:bidi="hi-IN"/>
              </w:rPr>
            </w:pPr>
            <w:r>
              <w:rPr>
                <w:rFonts w:eastAsia="Tahoma" w:cs="Droid Sans Devanagari" w:ascii="Times New Roman" w:hAnsi="Times New Roman"/>
                <w:color w:val="000000"/>
                <w:spacing w:val="0"/>
                <w:kern w:val="0"/>
                <w:sz w:val="20"/>
                <w:szCs w:val="20"/>
                <w:lang w:val="ru-RU" w:eastAsia="zh-CN" w:bidi="hi-IN"/>
              </w:rPr>
              <w:t>Реализация ведомственной целевой программы «Цифровая платформа транспортного комплекса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ConsPlusNormal1"/>
              <w:widowControl w:val="false"/>
              <w:suppressAutoHyphens w:val="true"/>
              <w:spacing w:lineRule="auto" w:line="240" w:before="0" w:after="0"/>
              <w:ind w:left="0" w:right="0" w:hanging="0"/>
              <w:jc w:val="both"/>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ascii="Times New Roman" w:hAnsi="Times New Roman"/>
                <w:color w:val="000000"/>
                <w:spacing w:val="0"/>
                <w:kern w:val="0"/>
                <w:sz w:val="20"/>
                <w:szCs w:val="20"/>
                <w:shd w:fill="auto" w:val="clear"/>
                <w:lang w:val="ru-RU" w:eastAsia="zh-CN" w:bidi="hi-IN"/>
              </w:rPr>
              <w:t>Д.А. Поплаухин</w:t>
            </w:r>
          </w:p>
        </w:tc>
        <w:tc>
          <w:tcPr>
            <w:tcW w:w="2426" w:type="dxa"/>
            <w:gridSpan w:val="3"/>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Органы управления транспортным комплексом обеспечены информацией о состоянии и ходе развития транспортной системы, ее безопасности и устойчивости, прогнозе спроса на транспортные услуги по результатам анализа до 1600 обрабатываемых показателей</w:t>
            </w:r>
          </w:p>
        </w:tc>
        <w:tc>
          <w:tcPr>
            <w:tcW w:w="184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color w:val="000000"/>
                <w:spacing w:val="0"/>
                <w:kern w:val="0"/>
                <w:sz w:val="20"/>
                <w:szCs w:val="20"/>
              </w:rPr>
              <w:t xml:space="preserve">Отчет о реализации </w:t>
            </w:r>
            <w:r>
              <w:rPr>
                <w:color w:val="000000"/>
                <w:spacing w:val="0"/>
                <w:kern w:val="0"/>
                <w:sz w:val="20"/>
                <w:szCs w:val="20"/>
                <w:shd w:fill="auto" w:val="clear"/>
              </w:rPr>
              <w:t>ГП 24</w:t>
            </w:r>
          </w:p>
        </w:tc>
        <w:tc>
          <w:tcPr>
            <w:tcW w:w="139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32"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51"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3"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19"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1311"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ВЦП 7</w:t>
            </w:r>
          </w:p>
        </w:tc>
      </w:tr>
      <w:tr>
        <w:trPr>
          <w:trHeight w:val="272" w:hRule="atLeast"/>
        </w:trPr>
        <w:tc>
          <w:tcPr>
            <w:tcW w:w="2536" w:type="dxa"/>
            <w:tcBorders>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both"/>
              <w:rPr/>
            </w:pPr>
            <w:r>
              <w:rPr>
                <w:b/>
                <w:color w:val="000000"/>
                <w:spacing w:val="0"/>
                <w:kern w:val="0"/>
                <w:sz w:val="20"/>
                <w:szCs w:val="20"/>
              </w:rPr>
              <w:t>Мероприятие 7.5.2.</w:t>
            </w:r>
          </w:p>
          <w:p>
            <w:pPr>
              <w:pStyle w:val="Normal"/>
              <w:widowControl w:val="false"/>
              <w:suppressAutoHyphens w:val="true"/>
              <w:spacing w:lineRule="auto" w:line="240" w:before="0" w:after="0"/>
              <w:ind w:left="0" w:right="0" w:hanging="0"/>
              <w:jc w:val="both"/>
              <w:rPr/>
            </w:pPr>
            <w:r>
              <w:rPr>
                <w:color w:val="000000"/>
                <w:spacing w:val="0"/>
                <w:kern w:val="0"/>
                <w:sz w:val="20"/>
                <w:szCs w:val="20"/>
              </w:rPr>
              <w:t xml:space="preserve">Реализация </w:t>
            </w:r>
            <w:r>
              <w:rPr>
                <w:rFonts w:eastAsia="Tahoma" w:cs="Droid Sans Devanagari"/>
                <w:color w:val="000000"/>
                <w:spacing w:val="0"/>
                <w:kern w:val="0"/>
                <w:sz w:val="20"/>
                <w:szCs w:val="20"/>
                <w:lang w:val="ru-RU" w:eastAsia="zh-CN" w:bidi="hi-IN"/>
              </w:rPr>
              <w:t>ф</w:t>
            </w:r>
            <w:r>
              <w:rPr>
                <w:color w:val="000000"/>
                <w:spacing w:val="0"/>
                <w:kern w:val="0"/>
                <w:sz w:val="20"/>
                <w:szCs w:val="20"/>
              </w:rPr>
              <w:t>едерального проекта «Информационно-аналитическое и научное обеспечение развития транспортной системы»</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 Поплаухин</w:t>
            </w:r>
          </w:p>
        </w:tc>
        <w:tc>
          <w:tcPr>
            <w:tcW w:w="2426" w:type="dxa"/>
            <w:gridSpan w:val="3"/>
            <w:tcBorders>
              <w:left w:val="single" w:sz="4" w:space="0" w:color="000000"/>
              <w:bottom w:val="single" w:sz="4" w:space="0" w:color="000000"/>
              <w:right w:val="single" w:sz="4" w:space="0" w:color="000000"/>
            </w:tcBorders>
          </w:tcPr>
          <w:p>
            <w:pPr>
              <w:pStyle w:val="Normal"/>
              <w:widowControl w:val="false"/>
              <w:tabs>
                <w:tab w:val="clear" w:pos="708"/>
                <w:tab w:val="left" w:pos="1134" w:leader="none"/>
              </w:tabs>
              <w:suppressAutoHyphens w:val="true"/>
              <w:spacing w:lineRule="auto" w:line="240" w:before="0" w:after="0"/>
              <w:ind w:left="35" w:right="0" w:hanging="0"/>
              <w:jc w:val="both"/>
              <w:rPr>
                <w:color w:val="000000"/>
                <w:spacing w:val="0"/>
                <w:kern w:val="0"/>
                <w:sz w:val="20"/>
                <w:szCs w:val="20"/>
              </w:rPr>
            </w:pPr>
            <w:r>
              <w:rPr>
                <w:color w:val="000000"/>
                <w:spacing w:val="0"/>
                <w:kern w:val="0"/>
                <w:sz w:val="20"/>
                <w:szCs w:val="20"/>
              </w:rPr>
              <w:t xml:space="preserve">Органы управления транспортным комплексом обеспечены информацией о состоянии и ходе развития транспортной системы, ее безопасности и устойчивости, прогнозе спроса на транспортные услуги </w:t>
            </w:r>
          </w:p>
        </w:tc>
        <w:tc>
          <w:tcPr>
            <w:tcW w:w="184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color w:val="000000"/>
                <w:spacing w:val="0"/>
                <w:kern w:val="0"/>
                <w:sz w:val="20"/>
                <w:szCs w:val="20"/>
              </w:rPr>
              <w:t xml:space="preserve">Отчет о реализации </w:t>
            </w:r>
            <w:r>
              <w:rPr>
                <w:color w:val="000000"/>
                <w:spacing w:val="0"/>
                <w:kern w:val="0"/>
                <w:sz w:val="20"/>
                <w:szCs w:val="20"/>
                <w:shd w:fill="auto" w:val="clear"/>
              </w:rPr>
              <w:t>ГП 24</w:t>
            </w:r>
          </w:p>
        </w:tc>
        <w:tc>
          <w:tcPr>
            <w:tcW w:w="139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ГП 24</w:t>
            </w:r>
          </w:p>
          <w:p>
            <w:pPr>
              <w:pStyle w:val="Normal"/>
              <w:widowControl w:val="false"/>
              <w:suppressAutoHyphens w:val="true"/>
              <w:spacing w:lineRule="auto" w:line="240" w:before="0" w:after="0"/>
              <w:ind w:left="0" w:right="0" w:hanging="0"/>
              <w:jc w:val="center"/>
              <w:rPr>
                <w:color w:val="000000"/>
                <w:spacing w:val="0"/>
                <w:kern w:val="0"/>
                <w:sz w:val="20"/>
                <w:szCs w:val="20"/>
                <w:shd w:fill="auto" w:val="clear"/>
              </w:rPr>
            </w:pPr>
            <w:r>
              <w:rPr>
                <w:color w:val="000000"/>
                <w:spacing w:val="0"/>
                <w:kern w:val="0"/>
                <w:sz w:val="20"/>
                <w:szCs w:val="20"/>
                <w:shd w:fill="auto" w:val="clear"/>
              </w:rPr>
              <w:t>ФП 34</w:t>
            </w:r>
          </w:p>
        </w:tc>
      </w:tr>
      <w:tr>
        <w:trPr>
          <w:trHeight w:val="272" w:hRule="atLeast"/>
        </w:trPr>
        <w:tc>
          <w:tcPr>
            <w:tcW w:w="15086" w:type="dxa"/>
            <w:gridSpan w:val="16"/>
            <w:tcBorders>
              <w:left w:val="single" w:sz="4" w:space="0" w:color="000000"/>
              <w:bottom w:val="single" w:sz="4" w:space="0" w:color="000000"/>
              <w:right w:val="single" w:sz="4" w:space="0" w:color="000000"/>
            </w:tcBorders>
          </w:tcPr>
          <w:p>
            <w:pPr>
              <w:pStyle w:val="Normal"/>
              <w:keepNext w:val="true"/>
              <w:widowControl w:val="false"/>
              <w:suppressAutoHyphens w:val="true"/>
              <w:spacing w:lineRule="auto" w:line="240" w:before="0" w:after="0"/>
              <w:ind w:left="0" w:right="0" w:hanging="0"/>
              <w:jc w:val="center"/>
              <w:rPr>
                <w:b/>
                <w:b/>
              </w:rPr>
            </w:pPr>
            <w:r>
              <w:rPr>
                <w:b/>
                <w:color w:val="000000"/>
                <w:spacing w:val="0"/>
                <w:kern w:val="0"/>
                <w:sz w:val="20"/>
                <w:szCs w:val="20"/>
              </w:rPr>
              <w:t xml:space="preserve">Направление (блок мероприятий) 7.6. </w:t>
            </w:r>
            <w:r>
              <w:rPr>
                <w:b/>
                <w:color w:val="000000"/>
                <w:spacing w:val="0"/>
                <w:kern w:val="0"/>
                <w:sz w:val="20"/>
                <w:szCs w:val="20"/>
                <w:shd w:fill="auto" w:val="clear"/>
              </w:rPr>
              <w:t>Реализация долгосрочных программах развития организаций с участием Российской Федерации, их инвестиционной деятельности, в отношении которых Минтранс России (а также подведомственная ему федеральная служба и федеральные агентства) в рамках полномочий, установленных законодательством Российской Федерации, осуществляет функции по рассмотрению, согласованию, утверждению, мониторингу либо контролю реализации</w:t>
            </w:r>
          </w:p>
        </w:tc>
      </w:tr>
      <w:tr>
        <w:trPr>
          <w:trHeight w:val="272" w:hRule="atLeast"/>
        </w:trPr>
        <w:tc>
          <w:tcPr>
            <w:tcW w:w="8203" w:type="dxa"/>
            <w:gridSpan w:val="6"/>
            <w:tcBorders>
              <w:left w:val="single" w:sz="4" w:space="0" w:color="000000"/>
              <w:bottom w:val="single" w:sz="4" w:space="0" w:color="000000"/>
              <w:right w:val="single" w:sz="4" w:space="0" w:color="000000"/>
            </w:tcBorders>
          </w:tcPr>
          <w:p>
            <w:pPr>
              <w:pStyle w:val="Normal"/>
              <w:keepNext w:val="true"/>
              <w:widowControl w:val="false"/>
              <w:suppressAutoHyphens w:val="true"/>
              <w:overflowPunct w:val="true"/>
              <w:bidi w:val="0"/>
              <w:spacing w:lineRule="auto" w:line="240" w:before="0" w:after="0"/>
              <w:ind w:left="737" w:right="0" w:hanging="454"/>
              <w:jc w:val="both"/>
              <w:rPr>
                <w:b/>
                <w:b/>
                <w:bCs w:val="false"/>
                <w:color w:val="000000"/>
                <w:spacing w:val="0"/>
                <w:kern w:val="0"/>
                <w:sz w:val="20"/>
                <w:szCs w:val="20"/>
              </w:rPr>
            </w:pPr>
            <w:r>
              <w:rPr>
                <w:b/>
                <w:bCs w:val="false"/>
                <w:color w:val="000000"/>
                <w:spacing w:val="0"/>
                <w:kern w:val="0"/>
                <w:sz w:val="20"/>
                <w:szCs w:val="20"/>
              </w:rPr>
              <w:t>1.       Индикатор направления (блока мероприятий) 7.6.</w:t>
            </w:r>
          </w:p>
          <w:p>
            <w:pPr>
              <w:pStyle w:val="Normal"/>
              <w:widowControl w:val="false"/>
              <w:suppressAutoHyphens w:val="true"/>
              <w:overflowPunct w:val="true"/>
              <w:bidi w:val="0"/>
              <w:spacing w:lineRule="auto" w:line="240" w:before="0" w:after="0"/>
              <w:ind w:left="510" w:right="0" w:hanging="0"/>
              <w:jc w:val="both"/>
              <w:rPr/>
            </w:pPr>
            <w:r>
              <w:rPr>
                <w:b w:val="false"/>
                <w:bCs w:val="false"/>
                <w:i w:val="false"/>
                <w:iCs w:val="false"/>
                <w:color w:val="000000"/>
                <w:spacing w:val="0"/>
                <w:kern w:val="0"/>
                <w:sz w:val="20"/>
                <w:szCs w:val="20"/>
                <w:shd w:fill="auto" w:val="clear"/>
              </w:rPr>
              <w:t xml:space="preserve">Соотношение привлеченного финансирования и собственных средств к общему объему инвестирования, </w:t>
            </w:r>
            <w:r>
              <w:rPr>
                <w:rFonts w:eastAsia="Tahoma" w:cs="Droid Sans Devanagari"/>
                <w:b w:val="false"/>
                <w:bCs w:val="false"/>
                <w:i w:val="false"/>
                <w:iCs w:val="false"/>
                <w:color w:val="000000"/>
                <w:spacing w:val="0"/>
                <w:kern w:val="0"/>
                <w:sz w:val="20"/>
                <w:szCs w:val="20"/>
                <w:shd w:fill="auto" w:val="clear"/>
                <w:lang w:val="ru-RU" w:eastAsia="zh-CN" w:bidi="hi-IN"/>
              </w:rPr>
              <w:t>предусмотренных долгосрочными программами развития, инвестиционными программами организаций, в отношении которых Минтранс России (а также подведомственная ему федеральная служба и федеральные агентства) осуществляет функции по рассмотрению, согласованию, утверждению, мониторингу либо контролю реализации</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0,77</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0,9</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0,87</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0,83</w:t>
            </w:r>
          </w:p>
        </w:tc>
        <w:tc>
          <w:tcPr>
            <w:tcW w:w="1311"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ПД 30</w:t>
            </w:r>
          </w:p>
        </w:tc>
      </w:tr>
      <w:tr>
        <w:trPr>
          <w:trHeight w:val="272" w:hRule="atLeast"/>
        </w:trPr>
        <w:tc>
          <w:tcPr>
            <w:tcW w:w="2536" w:type="dxa"/>
            <w:tcBorders>
              <w:left w:val="single" w:sz="4" w:space="0" w:color="000000"/>
              <w:bottom w:val="single" w:sz="4" w:space="0" w:color="000000"/>
              <w:right w:val="single" w:sz="4" w:space="0" w:color="000000"/>
            </w:tcBorders>
          </w:tcPr>
          <w:p>
            <w:pPr>
              <w:pStyle w:val="ConsPlusNormal1"/>
              <w:keepNext w:val="true"/>
              <w:widowControl w:val="false"/>
              <w:suppressAutoHyphens w:val="true"/>
              <w:overflowPunct w:val="true"/>
              <w:bidi w:val="0"/>
              <w:spacing w:lineRule="auto" w:line="240" w:before="0" w:after="0"/>
              <w:ind w:left="0" w:right="0" w:hanging="0"/>
              <w:jc w:val="both"/>
              <w:rPr>
                <w:rFonts w:ascii="Times New Roman" w:hAnsi="Times New Roman"/>
                <w:b/>
                <w:b/>
                <w:bCs/>
                <w:i w:val="false"/>
                <w:i w:val="false"/>
                <w:iCs w:val="false"/>
                <w:color w:val="000000"/>
                <w:spacing w:val="0"/>
                <w:kern w:val="0"/>
                <w:sz w:val="20"/>
                <w:szCs w:val="20"/>
                <w:shd w:fill="auto" w:val="clear"/>
              </w:rPr>
            </w:pPr>
            <w:r>
              <w:rPr>
                <w:rFonts w:ascii="Times New Roman" w:hAnsi="Times New Roman"/>
                <w:b/>
                <w:bCs/>
                <w:i w:val="false"/>
                <w:iCs w:val="false"/>
                <w:color w:val="000000"/>
                <w:spacing w:val="0"/>
                <w:kern w:val="0"/>
                <w:sz w:val="20"/>
                <w:szCs w:val="20"/>
                <w:shd w:fill="auto" w:val="clear"/>
              </w:rPr>
              <w:t>Мероприятие 7.6.1.</w:t>
            </w:r>
          </w:p>
          <w:p>
            <w:pPr>
              <w:pStyle w:val="ConsPlusNormal1"/>
              <w:widowControl w:val="false"/>
              <w:suppressAutoHyphens w:val="true"/>
              <w:overflowPunct w:val="true"/>
              <w:bidi w:val="0"/>
              <w:spacing w:lineRule="auto" w:line="240" w:before="0" w:after="0"/>
              <w:ind w:left="0" w:right="0" w:hanging="0"/>
              <w:jc w:val="both"/>
              <w:rPr/>
            </w:pPr>
            <w:r>
              <w:rPr>
                <w:rFonts w:ascii="Times New Roman" w:hAnsi="Times New Roman"/>
                <w:b w:val="false"/>
                <w:bCs w:val="false"/>
                <w:i w:val="false"/>
                <w:iCs w:val="false"/>
                <w:color w:val="000000"/>
                <w:spacing w:val="0"/>
                <w:kern w:val="0"/>
                <w:sz w:val="20"/>
                <w:szCs w:val="20"/>
                <w:shd w:fill="auto" w:val="clear"/>
              </w:rPr>
              <w:t>Реализация</w:t>
            </w:r>
            <w:r>
              <w:rPr>
                <w:rFonts w:ascii="Times New Roman" w:hAnsi="Times New Roman"/>
                <w:b w:val="false"/>
                <w:bCs w:val="false"/>
                <w:i w:val="false"/>
                <w:iCs w:val="false"/>
                <w:color w:val="C9211E"/>
                <w:spacing w:val="0"/>
                <w:kern w:val="0"/>
                <w:sz w:val="20"/>
                <w:szCs w:val="20"/>
                <w:shd w:fill="auto" w:val="clear"/>
              </w:rPr>
              <w:t xml:space="preserve"> </w:t>
            </w:r>
            <w:r>
              <w:rPr>
                <w:rFonts w:ascii="Times New Roman" w:hAnsi="Times New Roman"/>
                <w:b w:val="false"/>
                <w:bCs w:val="false"/>
                <w:i w:val="false"/>
                <w:iCs w:val="false"/>
                <w:color w:val="000000"/>
                <w:spacing w:val="0"/>
                <w:kern w:val="0"/>
                <w:sz w:val="20"/>
                <w:szCs w:val="20"/>
                <w:shd w:fill="auto" w:val="clear"/>
              </w:rPr>
              <w:t>долгосрочных программ развития, инвестиционных программ организаций</w:t>
            </w:r>
            <w:r>
              <w:rPr>
                <w:rFonts w:ascii="Times New Roman" w:hAnsi="Times New Roman"/>
                <w:b w:val="false"/>
                <w:bCs w:val="false"/>
                <w:i w:val="false"/>
                <w:iCs w:val="false"/>
                <w:color w:val="C9211E"/>
                <w:spacing w:val="0"/>
                <w:kern w:val="0"/>
                <w:sz w:val="20"/>
                <w:szCs w:val="20"/>
                <w:shd w:fill="auto" w:val="clear"/>
              </w:rPr>
              <w:t xml:space="preserve"> </w:t>
            </w:r>
            <w:r>
              <w:rPr>
                <w:rFonts w:ascii="Times New Roman" w:hAnsi="Times New Roman"/>
                <w:b w:val="false"/>
                <w:bCs w:val="false"/>
                <w:i w:val="false"/>
                <w:iCs w:val="false"/>
                <w:color w:val="000000"/>
                <w:spacing w:val="0"/>
                <w:kern w:val="0"/>
                <w:sz w:val="20"/>
                <w:szCs w:val="20"/>
                <w:shd w:fill="auto" w:val="clear"/>
              </w:rPr>
              <w:t>в отношении которых Минтранс России (а также подведомственная ему федеральная служба и федеральные агентства) в рамках полномочий, установленных законодательством Российской Федерации, осуществляет функции по рассмотрению, согласованию, утверждению, мониторингу либо контролю реализации</w:t>
            </w:r>
          </w:p>
        </w:tc>
        <w:tc>
          <w:tcPr>
            <w:tcW w:w="2426" w:type="dxa"/>
            <w:gridSpan w:val="3"/>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35" w:right="0" w:hanging="0"/>
              <w:jc w:val="left"/>
              <w:rPr>
                <w:color w:val="000000"/>
                <w:sz w:val="20"/>
                <w:szCs w:val="20"/>
              </w:rPr>
            </w:pPr>
            <w:r>
              <w:rPr>
                <w:color w:val="000000"/>
                <w:sz w:val="20"/>
                <w:szCs w:val="20"/>
              </w:rPr>
              <w:t>Реализация долгосрочных программ развития, инвестиционных программ, в том числе долгосрочной программы развития Группы «Аэрофлот»/</w:t>
            </w:r>
          </w:p>
          <w:p>
            <w:pPr>
              <w:pStyle w:val="Normal"/>
              <w:widowControl w:val="false"/>
              <w:suppressAutoHyphens w:val="true"/>
              <w:spacing w:lineRule="auto" w:line="240" w:before="0" w:after="0"/>
              <w:ind w:left="35" w:right="0" w:hanging="0"/>
              <w:jc w:val="left"/>
              <w:rPr>
                <w:color w:val="000000"/>
                <w:sz w:val="20"/>
                <w:szCs w:val="20"/>
              </w:rPr>
            </w:pPr>
            <w:r>
              <w:rPr>
                <w:color w:val="000000"/>
                <w:sz w:val="20"/>
                <w:szCs w:val="20"/>
              </w:rPr>
              <w:t xml:space="preserve">2021-2025, </w:t>
            </w:r>
          </w:p>
          <w:p>
            <w:pPr>
              <w:pStyle w:val="Normal"/>
              <w:widowControl w:val="false"/>
              <w:suppressAutoHyphens w:val="true"/>
              <w:spacing w:lineRule="auto" w:line="240" w:before="0" w:after="0"/>
              <w:ind w:left="35" w:right="0" w:hanging="0"/>
              <w:jc w:val="left"/>
              <w:rPr>
                <w:color w:val="000000"/>
                <w:sz w:val="20"/>
                <w:szCs w:val="20"/>
              </w:rPr>
            </w:pPr>
            <w:r>
              <w:rPr>
                <w:color w:val="000000"/>
                <w:sz w:val="20"/>
                <w:szCs w:val="20"/>
              </w:rPr>
              <w:t xml:space="preserve">Программы деятельности ФГУП «Росморпорт»/2021-2024, </w:t>
            </w:r>
          </w:p>
          <w:p>
            <w:pPr>
              <w:pStyle w:val="Normal"/>
              <w:widowControl w:val="false"/>
              <w:suppressAutoHyphens w:val="true"/>
              <w:spacing w:lineRule="auto" w:line="240" w:before="0" w:after="0"/>
              <w:ind w:left="35" w:right="0" w:hanging="0"/>
              <w:jc w:val="left"/>
              <w:rPr>
                <w:color w:val="000000"/>
                <w:sz w:val="20"/>
                <w:szCs w:val="20"/>
              </w:rPr>
            </w:pPr>
            <w:r>
              <w:rPr>
                <w:color w:val="000000"/>
                <w:sz w:val="20"/>
                <w:szCs w:val="20"/>
              </w:rPr>
              <w:t xml:space="preserve">Программы деятельности ПАО «НМТП»/2021-2025, </w:t>
            </w:r>
          </w:p>
          <w:p>
            <w:pPr>
              <w:pStyle w:val="Normal"/>
              <w:widowControl w:val="false"/>
              <w:suppressAutoHyphens w:val="true"/>
              <w:overflowPunct w:val="true"/>
              <w:bidi w:val="0"/>
              <w:spacing w:lineRule="auto" w:line="240" w:before="0" w:after="0"/>
              <w:ind w:left="0" w:right="0" w:hanging="0"/>
              <w:jc w:val="left"/>
              <w:rPr>
                <w:color w:val="000000"/>
                <w:sz w:val="20"/>
                <w:szCs w:val="20"/>
              </w:rPr>
            </w:pPr>
            <w:r>
              <w:rPr>
                <w:color w:val="000000"/>
                <w:sz w:val="20"/>
                <w:szCs w:val="20"/>
              </w:rPr>
              <w:t xml:space="preserve">Программы деятельности ПАО «Совкомфлот»/ 2021-2024, </w:t>
            </w:r>
          </w:p>
          <w:p>
            <w:pPr>
              <w:pStyle w:val="Normal"/>
              <w:widowControl w:val="false"/>
              <w:suppressAutoHyphens w:val="true"/>
              <w:overflowPunct w:val="true"/>
              <w:bidi w:val="0"/>
              <w:spacing w:lineRule="auto" w:line="240" w:before="0" w:after="0"/>
              <w:ind w:left="0" w:right="0" w:hanging="0"/>
              <w:jc w:val="left"/>
              <w:rPr/>
            </w:pPr>
            <w:r>
              <w:rPr>
                <w:color w:val="000000"/>
                <w:sz w:val="20"/>
                <w:szCs w:val="20"/>
              </w:rPr>
              <w:t>П</w:t>
            </w:r>
            <w:r>
              <w:rPr>
                <w:rFonts w:eastAsia="Calibri" w:cs="Times New Roman"/>
                <w:color w:val="000000"/>
                <w:kern w:val="0"/>
                <w:sz w:val="20"/>
                <w:szCs w:val="20"/>
                <w:lang w:val="ru-RU" w:eastAsia="en-US" w:bidi="ar-SA"/>
              </w:rPr>
              <w:t xml:space="preserve">рограммы деятельности на долгосрочный период </w:t>
            </w:r>
            <w:r>
              <w:rPr>
                <w:rFonts w:eastAsia="Calibri" w:cs="Times New Roman"/>
                <w:b w:val="false"/>
                <w:bCs w:val="false"/>
                <w:color w:val="000000"/>
                <w:kern w:val="0"/>
                <w:sz w:val="20"/>
                <w:szCs w:val="20"/>
                <w:lang w:val="ru-RU" w:eastAsia="en-US" w:bidi="ar-SA"/>
              </w:rPr>
              <w:t>Государственной компании «Автодор»</w:t>
            </w:r>
            <w:r>
              <w:rPr>
                <w:rFonts w:eastAsia="Calibri" w:cs="Times New Roman"/>
                <w:color w:val="000000"/>
                <w:kern w:val="0"/>
                <w:sz w:val="20"/>
                <w:szCs w:val="20"/>
                <w:lang w:val="ru-RU" w:eastAsia="en-US" w:bidi="ar-SA"/>
              </w:rPr>
              <w:t>/2010-2030, инвестиционной программы</w:t>
              <w:br/>
              <w:t>ОАО «РЖД»/2021-2024,</w:t>
            </w:r>
          </w:p>
          <w:p>
            <w:pPr>
              <w:pStyle w:val="ListParagraph1"/>
              <w:widowControl w:val="false"/>
              <w:tabs>
                <w:tab w:val="clear" w:pos="708"/>
                <w:tab w:val="left" w:pos="851" w:leader="none"/>
              </w:tabs>
              <w:suppressAutoHyphens w:val="true"/>
              <w:overflowPunct w:val="true"/>
              <w:bidi w:val="0"/>
              <w:spacing w:lineRule="auto" w:line="240" w:before="0" w:after="0"/>
              <w:ind w:left="0" w:right="0" w:hanging="0"/>
              <w:contextualSpacing/>
              <w:jc w:val="left"/>
              <w:rPr>
                <w:rFonts w:cs="Times New Roman"/>
              </w:rPr>
            </w:pPr>
            <w:r>
              <w:rPr>
                <w:rFonts w:eastAsia="Calibri" w:cs="Times New Roman"/>
                <w:color w:val="000000"/>
                <w:kern w:val="0"/>
                <w:sz w:val="20"/>
                <w:szCs w:val="20"/>
                <w:lang w:val="ru-RU" w:eastAsia="en-US" w:bidi="ar-SA"/>
              </w:rPr>
              <w:t xml:space="preserve">долгосрочной программы развития </w:t>
            </w:r>
            <w:r>
              <w:rPr>
                <w:rFonts w:eastAsia="Calibri" w:cs="Times New Roman"/>
                <w:b w:val="false"/>
                <w:bCs w:val="false"/>
                <w:color w:val="000000"/>
                <w:kern w:val="0"/>
                <w:sz w:val="20"/>
                <w:szCs w:val="20"/>
                <w:lang w:val="ru-RU" w:eastAsia="en-US" w:bidi="ar-SA"/>
              </w:rPr>
              <w:t>ФГУП «Госкорпорация по ОрВД»</w:t>
            </w:r>
            <w:r>
              <w:rPr>
                <w:rFonts w:eastAsia="Calibri" w:cs="Times New Roman"/>
                <w:color w:val="000000"/>
                <w:kern w:val="0"/>
                <w:sz w:val="20"/>
                <w:szCs w:val="20"/>
                <w:lang w:val="ru-RU" w:eastAsia="en-US" w:bidi="ar-SA"/>
              </w:rPr>
              <w:t>/2020-2030</w:t>
            </w:r>
          </w:p>
        </w:tc>
        <w:tc>
          <w:tcPr>
            <w:tcW w:w="184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pPr>
            <w:r>
              <w:rPr>
                <w:i w:val="false"/>
                <w:iCs w:val="false"/>
                <w:sz w:val="20"/>
                <w:szCs w:val="20"/>
                <w:shd w:fill="auto" w:val="clear"/>
              </w:rPr>
              <w:t xml:space="preserve">Отчеты о реализации  </w:t>
            </w:r>
            <w:r>
              <w:rPr>
                <w:b w:val="false"/>
                <w:bCs w:val="false"/>
                <w:i w:val="false"/>
                <w:iCs w:val="false"/>
                <w:color w:val="000000"/>
                <w:spacing w:val="0"/>
                <w:kern w:val="0"/>
                <w:sz w:val="20"/>
                <w:szCs w:val="20"/>
                <w:shd w:fill="auto" w:val="clear"/>
              </w:rPr>
              <w:t>долгосрочных программ развития, инвестиционных программ</w:t>
            </w:r>
          </w:p>
        </w:tc>
        <w:tc>
          <w:tcPr>
            <w:tcW w:w="139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Процессный</w:t>
            </w:r>
          </w:p>
        </w:tc>
        <w:tc>
          <w:tcPr>
            <w:tcW w:w="922"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32"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r>
          </w:p>
        </w:tc>
        <w:tc>
          <w:tcPr>
            <w:tcW w:w="951"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23" w:type="dxa"/>
            <w:gridSpan w:val="2"/>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919"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I - IV кв.</w:t>
            </w:r>
          </w:p>
        </w:tc>
        <w:tc>
          <w:tcPr>
            <w:tcW w:w="1311"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ПД 30</w:t>
            </w:r>
          </w:p>
        </w:tc>
      </w:tr>
    </w:tbl>
    <w:p>
      <w:pPr>
        <w:pStyle w:val="Normal"/>
        <w:ind w:left="0" w:right="111" w:hanging="0"/>
        <w:jc w:val="both"/>
        <w:rPr>
          <w:color w:val="000000"/>
          <w:sz w:val="18"/>
        </w:rPr>
      </w:pPr>
      <w:r>
        <w:rPr>
          <w:color w:val="000000"/>
          <w:sz w:val="18"/>
        </w:rPr>
      </w:r>
      <w:r>
        <w:br w:type="page"/>
      </w:r>
    </w:p>
    <w:p>
      <w:pPr>
        <w:pStyle w:val="Normal"/>
        <w:jc w:val="center"/>
        <w:rPr>
          <w:color w:val="000000"/>
        </w:rPr>
      </w:pPr>
      <w:r>
        <w:rPr>
          <w:color w:val="000000"/>
        </w:rPr>
        <w:t xml:space="preserve">Перечень источников </w:t>
      </w:r>
    </w:p>
    <w:p>
      <w:pPr>
        <w:pStyle w:val="Normal"/>
        <w:jc w:val="center"/>
        <w:rPr>
          <w:color w:val="000000"/>
        </w:rPr>
      </w:pPr>
      <w:r>
        <w:rPr>
          <w:color w:val="000000"/>
        </w:rPr>
      </w:r>
    </w:p>
    <w:p>
      <w:pPr>
        <w:pStyle w:val="Normal"/>
        <w:jc w:val="center"/>
        <w:rPr>
          <w:color w:val="000000"/>
        </w:rPr>
      </w:pPr>
      <w:r>
        <w:rPr>
          <w:color w:val="000000"/>
        </w:rPr>
      </w:r>
    </w:p>
    <w:tbl>
      <w:tblPr>
        <w:tblW w:w="15434" w:type="dxa"/>
        <w:jc w:val="left"/>
        <w:tblInd w:w="-193" w:type="dxa"/>
        <w:tblLayout w:type="fixed"/>
        <w:tblCellMar>
          <w:top w:w="0" w:type="dxa"/>
          <w:left w:w="108" w:type="dxa"/>
          <w:bottom w:w="0" w:type="dxa"/>
          <w:right w:w="108" w:type="dxa"/>
        </w:tblCellMar>
      </w:tblPr>
      <w:tblGrid>
        <w:gridCol w:w="1015"/>
        <w:gridCol w:w="4604"/>
        <w:gridCol w:w="9815"/>
      </w:tblGrid>
      <w:tr>
        <w:trPr>
          <w:tblHeader w:val="true"/>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Обозначение документа</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Вид документа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Название и реквизиты документа</w:t>
            </w:r>
          </w:p>
        </w:tc>
      </w:tr>
      <w:tr>
        <w:trPr>
          <w:tblHeader w:val="true"/>
          <w:trHeight w:val="6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Указ Президента Российской Федерации от 07.05.2018 № 204</w:t>
              <w:br/>
              <w:t>«О национальных целях и стратегических задачах развития Российской Федерации на период до 2024 года»</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Указ Президента Российской Федерации от 21.07.2020 № 474</w:t>
              <w:br/>
              <w:t>«О национальных целях развития Российской Федерации на период до 2030 года»</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Указ Президента Российской Федерации от 21.12.2017 № 618 «Об основных направлениях государственной политики по развитию конкуренции»</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УП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Указ Президента Российской Федерации от 05.12.2016 № 646 </w:t>
              <w:br/>
              <w:t>«Об утверждении Доктрины информационной безопасности Российской Федерации»</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УП 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Указ Президента Российской Федерации от 15.01.2013 № 31с </w:t>
              <w:br/>
              <w:t>«О создании государственной системы обнаружения, предупреждения и ликвидации последствий компьютерных атак на информационные ресурсы Российской Федерации»</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УП 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Указ Президента Российской Федерации от 25.11.2017 № 569 «О внесении изменений в Положение</w:t>
              <w:br/>
              <w:t>о Федеральной службе по техническому и экспортному контролю, утвержденное Указом Президента Российской Федерации от 16.08.2004 № 1085»</w:t>
            </w:r>
          </w:p>
        </w:tc>
      </w:tr>
      <w:tr>
        <w:trPr>
          <w:trHeight w:val="85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УП 6</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Указ Президента Российской Федерации от 22.12.2017 № 620 </w:t>
              <w:br/>
              <w:t>«О совершенствовании государственной системы обнаружения, предупреждения и ликвидации последствий компьютерных атак на информационные ресурсы Российской Федерации»</w:t>
            </w:r>
          </w:p>
        </w:tc>
      </w:tr>
      <w:tr>
        <w:trPr>
          <w:trHeight w:val="79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УП 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left"/>
              <w:rPr>
                <w:color w:val="000000"/>
                <w:spacing w:val="0"/>
                <w:kern w:val="0"/>
                <w:sz w:val="20"/>
                <w:szCs w:val="20"/>
              </w:rPr>
            </w:pPr>
            <w:r>
              <w:rPr>
                <w:color w:val="000000"/>
                <w:spacing w:val="0"/>
                <w:kern w:val="0"/>
                <w:sz w:val="20"/>
                <w:szCs w:val="20"/>
              </w:rPr>
              <w:t>Указ Президента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Указ Президента Российской Федерации от 02.03.2018 № 98 </w:t>
              <w:br/>
              <w:t xml:space="preserve">«О внесении изменения в перечень сведений, отнесенных </w:t>
              <w:br/>
              <w:t>к государственной тайне, утвержденный Указом Президента Российской Федерации от 30.11.1995 № 1203»</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ОНДП</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Основные направления деятельности Правительства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Основные направления деятельности Правительства Российской Федерации на период до 2024 года, утвержденные Правительством Российской Федерации 29.09.2018 № 8028п-П13</w:t>
            </w:r>
          </w:p>
        </w:tc>
      </w:tr>
      <w:tr>
        <w:trPr>
          <w:trHeight w:val="492"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СПР РФ</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пространственного развития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пространственного развития Российской Федерации, утвержденная распоряжением Правительства Российской Федерации от 13.02.2019 № 207-р</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ТС РФ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Транспортная стратегия Российской Федерации на период до 2030 года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 xml:space="preserve">Транспортная стратегия Российской Федерации на период </w:t>
              <w:br/>
              <w:t>до 2030 года, утвержденная распоряжением Правительства Российской Федерации от 22.11.2008 № 1734-р</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ТС РФ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Транспортная стратегия Российской Федерации до 2030 года с прогнозом на период до 2035 года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Транспортная стратегия Российской Федерации до 2030 года с прогнозом на период до 2035 года, утвержденная распоряжением Правительства Российской Федерации от 27.11.2021 № 3363-р.</w:t>
            </w:r>
          </w:p>
        </w:tc>
      </w:tr>
      <w:tr>
        <w:trPr>
          <w:trHeight w:val="36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СР ВВТ</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развития внутреннего водного транспорта на период до 2030 года</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развития внутреннего водного транспорта на период</w:t>
              <w:br/>
              <w:t>до 2030 года, утвержденная распоряжением Правительства Российской Федерации от 29.02.2016 № 327-р</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СР ЖТ</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развития железнодорожного транспорта в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развития железнодорожного транспорта в Российской Федерации, утвержденная распоряжением Правительства Российской Федерации от 17.06.2008 № 877-р</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СНБ РФ</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национальной безопасности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Стратегия национальной безопасности Российской Федерации, утвержденная распоряжением Правительства Российской Федерации от 04.07.2019 № 327-р</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КПОБ</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Комплексная программа обеспечения безопасности населения на транспорте</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Комплексная программа обеспечения безопасности населения</w:t>
              <w:br/>
              <w:t>на транспорте, утвержденная распоряжением Правительства Российской Федерации от 30.07.2010 № 1285-р</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ГП 21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 «Космическая деятельность России» (содержит сведения ограниченного доступа)</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ГП 24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 «Развитие транспортной системы», утверждена постановлением Правительства Российской Федерации от 20.12.2017 № 1596</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ГП 27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 «Развитие внешнеэкономической деятельности», утверждена постановлением Правительства Российской Федерации от 15.04.2014 № 330</w:t>
            </w:r>
          </w:p>
        </w:tc>
      </w:tr>
      <w:tr>
        <w:trPr>
          <w:trHeight w:val="36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ГП 32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 «Обеспечение государственной безопасности» (содержит сведения ограниченного доступа)</w:t>
            </w:r>
          </w:p>
        </w:tc>
      </w:tr>
      <w:tr>
        <w:trPr>
          <w:trHeight w:val="543"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ГП 45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Государственная программа Российской Федерации «Социально-экономическое развитие Республики Крым и г. Севастополя», утверждена постановлением Правительства Российской Федерации от 30.01.2019 № 63</w:t>
            </w:r>
          </w:p>
        </w:tc>
      </w:tr>
      <w:tr>
        <w:trPr>
          <w:trHeight w:val="967"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Национальный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Национальный проект «Транспортная часть комплексного плана модернизации и расширения магистральной инфраструктуры на период до 2024 года» (утвержден протоколом заседания президиума Совета</w:t>
              <w:br/>
              <w:t>при Президенте Российской Федерации по стратегическому развитию и национальным проектам от 06.08.2019 № 11)</w:t>
            </w:r>
          </w:p>
        </w:tc>
      </w:tr>
      <w:tr>
        <w:trPr>
          <w:trHeight w:val="78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Национальный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sz w:val="20"/>
                <w:szCs w:val="20"/>
              </w:rPr>
              <w:t>Национальный проект «Безопасные и качественные автомобильные дороги»</w:t>
            </w:r>
            <w:r>
              <w:rPr>
                <w:color w:val="000000"/>
                <w:spacing w:val="0"/>
                <w:kern w:val="0"/>
                <w:sz w:val="20"/>
                <w:szCs w:val="20"/>
              </w:rPr>
              <w:t xml:space="preserve"> (протокол заседания президиума Совета при Президенте Российской Федерации по стратегическому развитию и национальным проектам</w:t>
              <w:br/>
              <w:t>от 04.06.2019 № 7)</w:t>
            </w:r>
          </w:p>
        </w:tc>
      </w:tr>
      <w:tr>
        <w:trPr>
          <w:trHeight w:val="101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НП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Национальный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Национальный проект «Транспортная часть комплексного плана модернизации и расширения магистральной инфраструктуры на период до 2024 года» (утвержден протоколом заседания президиума Совета при Президенте Российской Федерации по стратегическому развитию и национальным проектам</w:t>
              <w:br/>
              <w:t>от 29.10.2020 № 11). С 2021 года транспортная часть комплексного плана модернизации и расширения магистральной инфраструктуры на период до 2024 года (утверждена протоколом заседания президиума Совета при Президенте Российской Федерации по стратегическому развитию и национальным проектам от 01.02.2021 № 1).</w:t>
            </w:r>
          </w:p>
        </w:tc>
      </w:tr>
      <w:tr>
        <w:trPr>
          <w:trHeight w:val="76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НП 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Национальный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Национальный проект «Безопасные качественные дороги» (утвержден протоколом заседания президиума Совета при Президенте Российской Федерации по стратегическому развитию и национальным проектам от 29.10.2020 № 11). С 2021 года в редакции утвержденной протоколом заседания президиума Совета при Президенте Российской Федерации по стратегическому развитию и национальным проектам от 01.02.2021 № 1.</w:t>
            </w:r>
          </w:p>
        </w:tc>
      </w:tr>
      <w:tr>
        <w:trPr>
          <w:trHeight w:val="78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«Европа-Западный Китай»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от 17.04.2019 № 2)</w:t>
            </w:r>
          </w:p>
        </w:tc>
      </w:tr>
      <w:tr>
        <w:trPr>
          <w:trHeight w:val="78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«Морские порты России»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от 17.04.2019 № 2)</w:t>
            </w:r>
          </w:p>
        </w:tc>
      </w:tr>
      <w:tr>
        <w:trPr>
          <w:trHeight w:val="73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«Северный морской путь»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от 17.04.2019 № 2)</w:t>
            </w:r>
          </w:p>
        </w:tc>
      </w:tr>
      <w:tr>
        <w:trPr>
          <w:trHeight w:val="103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«Железнодорожный транспорт и транзит»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w:t>
              <w:br/>
              <w:t>от 17.04.2019 № 2)</w:t>
            </w:r>
          </w:p>
        </w:tc>
      </w:tr>
      <w:tr>
        <w:trPr>
          <w:trHeight w:val="93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«Транспортно-логистические центры»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от 17.04. 2019 № 2)</w:t>
            </w:r>
          </w:p>
        </w:tc>
      </w:tr>
      <w:tr>
        <w:trPr>
          <w:trHeight w:val="1043"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6</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«Коммуникации между центрами экономического роста»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от 17.04.2019 № 2)</w:t>
            </w:r>
          </w:p>
        </w:tc>
      </w:tr>
      <w:tr>
        <w:trPr>
          <w:trHeight w:val="102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Федеральный проект «Развитие региональных аэропортов </w:t>
              <w:br/>
              <w:t>и маршрутов»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от 17.04.2019 № 2)</w:t>
            </w:r>
          </w:p>
        </w:tc>
      </w:tr>
      <w:tr>
        <w:trPr>
          <w:trHeight w:val="1023"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8</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Федеральный проект «Высокоскоростное железнодорожное сообщение»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w:t>
              <w:br/>
              <w:t>от 17.04.2019 № 2)</w:t>
            </w:r>
          </w:p>
        </w:tc>
      </w:tr>
      <w:tr>
        <w:trPr>
          <w:trHeight w:val="847"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9</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«Внутренние водные пути» (утвержден протоколом заседания проектного комитета транспортной части комплексного плана модернизации и расширения магистральной инфраструктуры на период до 2024 года (рабочей группы Правительственной комиссии по транспорту) от 17.04.2019 № 2)</w:t>
            </w:r>
          </w:p>
        </w:tc>
      </w:tr>
      <w:tr>
        <w:trPr>
          <w:trHeight w:val="73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10</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Федеральный проект «Логистика международной торговли» (паспорт федерального проекта утвержден протоколом заседания проектного комитета национального проекта «Международная кооперация </w:t>
              <w:br/>
              <w:t>и экспорт» от 01.03.2019 № 1)</w:t>
            </w:r>
          </w:p>
        </w:tc>
      </w:tr>
      <w:tr>
        <w:trPr>
          <w:trHeight w:val="78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Федеральный проект «Дорожная сеть» (утвержден протоколом заседания проектного комитета по национальному проекту «Безопасные и качественные автомобильные дороги» </w:t>
              <w:br/>
              <w:t>от 20.12.2018 № 4)</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«Общесистемные меры развития дорожного хозяйства» (утвержден протоколом заседания проектного комитета по национальному проекту «Безопасные и качественные автомобильные дороги» от 20.12.2018 № 4)</w:t>
            </w:r>
          </w:p>
        </w:tc>
      </w:tr>
      <w:tr>
        <w:trPr>
          <w:trHeight w:val="727"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spacing w:val="0"/>
                <w:kern w:val="0"/>
                <w:sz w:val="20"/>
                <w:szCs w:val="20"/>
                <w:shd w:fill="auto" w:val="clear"/>
              </w:rPr>
              <w:t>Федеральный проект «Строительство автомобильных дорог международного транспортного коридора Европа – Западный Китай» (</w:t>
            </w:r>
            <w:r>
              <w:rPr>
                <w:spacing w:val="0"/>
                <w:kern w:val="0"/>
                <w:sz w:val="20"/>
                <w:szCs w:val="20"/>
              </w:rPr>
              <w:t>утвержден протоколом заседания президиума Совета при Президенте Российской Федерации по стратегическому развитию и национальным проектам 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spacing w:val="0"/>
                <w:kern w:val="0"/>
                <w:sz w:val="20"/>
                <w:szCs w:val="20"/>
                <w:shd w:fill="auto" w:val="clear"/>
              </w:rPr>
              <w:t>Федеральный проект «Развитие морских портов» (утвержде</w:t>
            </w:r>
            <w:r>
              <w:rPr>
                <w:spacing w:val="0"/>
                <w:kern w:val="0"/>
                <w:sz w:val="20"/>
                <w:szCs w:val="20"/>
              </w:rPr>
              <w:t xml:space="preserve">н протоколом заседания президиума Совета при Президенте Российской Федерации по стратегическому развитию и национальным проектам </w:t>
              <w:br/>
              <w:t>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16</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spacing w:val="0"/>
                <w:kern w:val="0"/>
                <w:sz w:val="20"/>
                <w:szCs w:val="20"/>
                <w:shd w:fill="auto" w:val="clear"/>
              </w:rPr>
              <w:t>Федеральный проект «Развитие Северного морского пути»</w:t>
            </w:r>
            <w:r>
              <w:rPr>
                <w:spacing w:val="0"/>
                <w:kern w:val="0"/>
                <w:sz w:val="20"/>
                <w:szCs w:val="20"/>
              </w:rPr>
              <w:t xml:space="preserve"> (утвержден протоколом заседания президиума Совета при Президенте Российской Федерации по стратегическому развитию и национальным проектам</w:t>
              <w:br/>
              <w:t>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spacing w:val="0"/>
                <w:kern w:val="0"/>
                <w:sz w:val="20"/>
                <w:szCs w:val="20"/>
                <w:shd w:fill="auto" w:val="clear"/>
              </w:rPr>
              <w:t>Федеральный проект «Развитие региональных аэропортов» (</w:t>
            </w:r>
            <w:r>
              <w:rPr>
                <w:spacing w:val="0"/>
                <w:kern w:val="0"/>
                <w:sz w:val="20"/>
                <w:szCs w:val="20"/>
              </w:rPr>
              <w:t>утвержден протоколом заседания президиума Совета при Президенте Российской Федерации по стратегическому развитию и национальным проектам</w:t>
              <w:br/>
              <w:t>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18</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«Развитие высокоскоростных железнодорожных магистралей» (утвержден протоколом заседания президиума Совета при Президенте Российской Федерации по стратегическому развитию</w:t>
              <w:br/>
              <w:t>и национальным проектам от 29.10.2020 № 11)</w:t>
            </w:r>
          </w:p>
        </w:tc>
      </w:tr>
      <w:tr>
        <w:trPr>
          <w:trHeight w:val="78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19</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«Развитие железнодорожной инфраструктуры Восточного полигона железных дорог» (утвержден протоколом заседания президиума Совета при Президенте Российской Федерации</w:t>
              <w:br/>
              <w:t>по стратегическому развитию и национальным проектам 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20</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«Развитие железнодорожных подходов к морским портам Азово-Черноморского бассейна» (утвержден протоколом заседания президиума Совета при Президенте Российской Федерации</w:t>
              <w:br/>
              <w:t>по стратегическому развитию и национальным проектам 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21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«Развитие железнодорожных подходов к морским портам Северо-Западного бассейна» (утвержден протоколом заседания президиума Совета при Президенте Российской Федерации</w:t>
              <w:br/>
              <w:t>по стратегическому развитию и национальным проектам 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22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«Развитие железнодорожной инфраструктуры Центрального транспортного узла» (утвержден протоколом заседания президиума Совета при Президенте Российской Федерации</w:t>
              <w:br/>
              <w:t>по стратегическому развитию и национальным проектам от 29.10.2020 № 11)</w:t>
            </w:r>
          </w:p>
        </w:tc>
      </w:tr>
      <w:tr>
        <w:trPr>
          <w:trHeight w:val="48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23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«Региональная и местная дорожная сеть» (утвержден протоколом заседания президиума Совета при Президенте Российской Федерации по стратегическому развитию и национальным проектам</w:t>
              <w:br/>
              <w:t>от 29.10.2020 № 11)</w:t>
            </w:r>
          </w:p>
        </w:tc>
      </w:tr>
      <w:tr>
        <w:trPr>
          <w:trHeight w:val="72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24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w:t>
            </w:r>
            <w:r>
              <w:rPr>
                <w:color w:val="000000"/>
                <w:spacing w:val="0"/>
                <w:kern w:val="0"/>
                <w:sz w:val="20"/>
                <w:szCs w:val="20"/>
                <w:shd w:fill="auto" w:val="clear"/>
              </w:rPr>
              <w:t>Общесистемные меры развития дорожного хозяйства</w:t>
            </w:r>
            <w:r>
              <w:rPr>
                <w:spacing w:val="0"/>
                <w:kern w:val="0"/>
                <w:sz w:val="20"/>
                <w:szCs w:val="20"/>
                <w:shd w:fill="auto" w:val="clear"/>
              </w:rPr>
              <w:t>» (утвержден протоколом заседания президиума Совета при Президенте Российской Федерации по стратегическому развитию</w:t>
              <w:br/>
              <w:t>и национальным проектам от 29.10.2020 № 11)</w:t>
            </w:r>
          </w:p>
        </w:tc>
      </w:tr>
      <w:tr>
        <w:trPr>
          <w:trHeight w:val="739"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ФП 25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hd w:fill="auto" w:val="clear"/>
              </w:rPr>
            </w:pPr>
            <w:r>
              <w:rPr>
                <w:spacing w:val="0"/>
                <w:kern w:val="0"/>
                <w:sz w:val="20"/>
                <w:szCs w:val="20"/>
                <w:shd w:fill="auto" w:val="clear"/>
              </w:rPr>
              <w:t>Федеральный проект «Развитие федеральной магистральной сети» (утвержден протоколом заседания президиума Совета при Президенте Российской Федерации по стратегическому развитию и национальным проектам от 29.10.2020  № 11)</w:t>
            </w:r>
          </w:p>
        </w:tc>
      </w:tr>
      <w:tr>
        <w:trPr>
          <w:trHeight w:val="382"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26</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проект «Развитие инфраструктуры железнодорожного транспорта» (2022-2024) (в соответствии</w:t>
              <w:br/>
              <w:t>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27</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«Обеспечение доступности услуг железнодорожного транспорта» (2022-2024)</w:t>
              <w:b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28</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«Доверительное управление федеральными автомобильными дорогами общего пользования Государственной компанией «Российские автомобильные дороги» (2022-2024) (в соответствии</w:t>
              <w:br/>
              <w:t>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29</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«Обеспечение исполнения обязательств концедента в рамках заключенных концессионных соглашений»(2022-2024) (в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30</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«Содействие развитию автомобильных дорог регионального, межмуниципального</w:t>
              <w:br/>
              <w:t>и местного значения» (2022-2024) (в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31</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«Развитие инфраструктуры воздушного транспорта» (2022-2024) (в соответствии</w:t>
              <w:br/>
              <w:t>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32</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«Обеспечение доступности услуг воздушного транспорта» (2022-2024) (в соответствии</w:t>
              <w:br/>
              <w:t>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33</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«Развитие инфраструктуры морского и внутреннего водного транспорта» (2022-2024)</w:t>
              <w:b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34</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«Информационно-аналитическое и научное обеспечение развития транспортной системы» (2022-2024) (в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35</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«Организация перевозок пассажиров в прямом смешанном сообщении из Российской Федерации на территорию Республики Абхазия и в обратном направлении»(2022-2024) (в соответствии</w:t>
              <w:br/>
              <w:t>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ФП 36</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Федеральный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Федеральный проект «Беспилотные логистические коридоры» (2022-2024) (в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0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 «Развитие сети федеральных автомобильных дорог общего пользования»</w:t>
            </w:r>
          </w:p>
        </w:tc>
      </w:tr>
      <w:tr>
        <w:trPr>
          <w:trHeight w:val="392"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 «Развитие инфраструктуры воздушного транспорта»</w:t>
            </w:r>
          </w:p>
        </w:tc>
      </w:tr>
      <w:tr>
        <w:trPr>
          <w:trHeight w:val="50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ВП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shd w:fill="auto" w:val="clear"/>
              </w:rPr>
            </w:pPr>
            <w:r>
              <w:rPr>
                <w:color w:val="000000"/>
                <w:spacing w:val="0"/>
                <w:kern w:val="0"/>
                <w:sz w:val="20"/>
                <w:szCs w:val="20"/>
                <w:shd w:fill="auto" w:val="clear"/>
              </w:rPr>
              <w:t>Ведомственный проект «Совершенствование контрольно-надзорной деятельности в сфере транспорта в Российской Федерации»</w:t>
            </w:r>
          </w:p>
        </w:tc>
      </w:tr>
      <w:tr>
        <w:trPr>
          <w:trHeight w:val="45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ВП 4</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Ведомственный проект «Научные исследования и цифровизация в сфере дорожного хозяйства» (2022-2024)</w:t>
              <w:br/>
            </w:r>
            <w:r>
              <w:rPr>
                <w:rFonts w:eastAsia="Tahoma" w:cs="Droid Sans Devanagari"/>
                <w:color w:val="000000"/>
                <w:spacing w:val="0"/>
                <w:kern w:val="0"/>
                <w:sz w:val="20"/>
                <w:szCs w:val="20"/>
                <w:lang w:val="ru-RU" w:eastAsia="zh-CN" w:bidi="hi-IN"/>
              </w:rP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45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ВП 5</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 xml:space="preserve">Ведомственный проект «Строительство, реконструкция и техническое перевооружение пунктов пропуска через государственную границу Российской Федерации» (2022-2024) </w:t>
            </w:r>
            <w:r>
              <w:rPr>
                <w:rFonts w:eastAsia="Tahoma" w:cs="Droid Sans Devanagari"/>
                <w:color w:val="000000"/>
                <w:spacing w:val="0"/>
                <w:kern w:val="0"/>
                <w:sz w:val="20"/>
                <w:szCs w:val="20"/>
                <w:lang w:val="ru-RU" w:eastAsia="zh-CN" w:bidi="hi-IN"/>
              </w:rP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5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rPr>
            </w:pPr>
            <w:r>
              <w:rPr>
                <w:color w:val="000000"/>
                <w:sz w:val="20"/>
              </w:rPr>
              <w:t>ВП 6</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Ведомственный проект</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 xml:space="preserve">Ведомственный проект «Формирование сети транспортно-логистических центров» (2021-2024) </w:t>
            </w:r>
            <w:r>
              <w:rPr>
                <w:rFonts w:eastAsia="Tahoma" w:cs="Droid Sans Devanagari"/>
                <w:color w:val="000000"/>
                <w:spacing w:val="0"/>
                <w:kern w:val="0"/>
                <w:sz w:val="20"/>
                <w:szCs w:val="20"/>
                <w:lang w:val="ru-RU" w:eastAsia="zh-CN" w:bidi="hi-IN"/>
              </w:rP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47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w:t>
            </w:r>
          </w:p>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 «Капитальный ремонт, ремонт и содержание автомобильных дорог общего пользования федерального значения»</w:t>
            </w:r>
          </w:p>
        </w:tc>
      </w:tr>
      <w:tr>
        <w:trPr>
          <w:trHeight w:val="462"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 «Содействие развитию автомобильных дорог регионального, межмуниципального и местного значения»</w:t>
            </w:r>
          </w:p>
        </w:tc>
      </w:tr>
      <w:tr>
        <w:trPr>
          <w:trHeight w:val="54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 «Доверительное управление федеральными автомобильными дорогами общего пользования Государственной компанией «Российские автомобильные дороги»</w:t>
            </w:r>
          </w:p>
        </w:tc>
      </w:tr>
      <w:tr>
        <w:trPr>
          <w:trHeight w:val="34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 «Обеспечение доступности услуг железнодорожного транспорта»</w:t>
            </w:r>
          </w:p>
        </w:tc>
      </w:tr>
      <w:tr>
        <w:trPr>
          <w:trHeight w:val="692"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 «Обеспечение охвата территории Российской Федерации деятельностью специализированных поисково- и аварийно-спасательных служб на воздушном транспорте»</w:t>
            </w:r>
          </w:p>
        </w:tc>
      </w:tr>
      <w:tr>
        <w:trPr>
          <w:trHeight w:val="77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6</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Ведомственная целевая программа «Организационное, информационное и научное обеспечение реализации подпрограммы «Надзор в сфере транспорта» государственной программы Российской Федерации «Развитие транспортной системы»</w:t>
            </w:r>
          </w:p>
        </w:tc>
      </w:tr>
      <w:tr>
        <w:trPr>
          <w:trHeight w:val="34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Ведомственная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Ведомственная целевая программа «Цифровая платформа транспортного комплекса Российской Федерации»</w:t>
            </w:r>
          </w:p>
        </w:tc>
      </w:tr>
      <w:tr>
        <w:trPr>
          <w:trHeight w:val="55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ВЦП 8</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Ведомственная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spacing w:val="0"/>
                <w:kern w:val="0"/>
                <w:sz w:val="20"/>
                <w:szCs w:val="20"/>
              </w:rPr>
            </w:pPr>
            <w:r>
              <w:rPr>
                <w:spacing w:val="0"/>
                <w:kern w:val="0"/>
                <w:sz w:val="20"/>
                <w:szCs w:val="20"/>
              </w:rPr>
              <w:t>Ведомственная целевая программа «Организационное, информационное и научное обеспечение реализации государственной программы Российской Федерации «Развитие транспортной системы»</w:t>
            </w:r>
          </w:p>
        </w:tc>
      </w:tr>
      <w:tr>
        <w:trPr>
          <w:trHeight w:val="461"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ФЦП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Федеральная целевая программа «Социально-экономическое развитие Республики Крым и г. Севастополя</w:t>
            </w:r>
            <w:r>
              <w:rPr>
                <w:color w:val="000000"/>
                <w:spacing w:val="0"/>
                <w:kern w:val="0"/>
                <w:sz w:val="20"/>
                <w:szCs w:val="20"/>
                <w:shd w:fill="auto" w:val="clear"/>
              </w:rPr>
              <w:t xml:space="preserve"> до 2022 года». С 2021 года Федеральная целевая программа «Социально-экономическое развитие Республики Крым и г. Севастополя до 2025 года»</w:t>
            </w:r>
          </w:p>
        </w:tc>
      </w:tr>
      <w:tr>
        <w:trPr>
          <w:trHeight w:val="543"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ФЦП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Федеральная целевая программа «Государственная граница Российской Федерации (2012-2024 годы)» (содержит сведения ограниченного доступа)</w:t>
            </w:r>
          </w:p>
        </w:tc>
      </w:tr>
      <w:tr>
        <w:trPr>
          <w:trHeight w:val="461"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ФЦП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Федеральная целевая программа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Федеральная целевая программа «Поддержание, развитие и использование системы ГЛОНАСС</w:t>
              <w:br/>
              <w:t>на 2012 -2020 годы» (содержит сведения ограниченного доступа)</w:t>
            </w:r>
          </w:p>
        </w:tc>
      </w:tr>
      <w:tr>
        <w:trPr>
          <w:trHeight w:val="382"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 законопроектной деятельности Министерства транспорта Российской Федерации</w:t>
            </w:r>
          </w:p>
        </w:tc>
      </w:tr>
      <w:tr>
        <w:trPr>
          <w:trHeight w:val="82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ИП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 мероприятий</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Плана мероприятий по внесению в законодательство Российской Федерации изменений, касающихся регулирования оборота и применения робототехнических комплексов (систем) воздушного, наземного</w:t>
              <w:br/>
              <w:t>и морского базирования, предусматривающих ограничения на их несанкционированное использование, утвержденный Министром транспорта Российской Федерации Е.И. Дитрихом</w:t>
            </w:r>
          </w:p>
        </w:tc>
      </w:tr>
      <w:tr>
        <w:trPr>
          <w:trHeight w:val="82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ИДК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Дорожная карта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 мероприятий («дорожная карта») внедрения в международных автомобильных пунктах пропуска через государственную границу Российской Федерации и стран ЕврАзЭС системы автоматического считывания и распознавания регистрационных номерных знаков транспортных средств (легковых и грузовых) и обеспечения автоматической передачи данных о транспортных средствах в информационные системы таможенных органов, утвержденный поручением Заместителя Председателя Правительства Д.О. Рогозина от 16.01.2017</w:t>
              <w:br/>
              <w:t>№ РД-П4-149</w:t>
            </w:r>
          </w:p>
        </w:tc>
      </w:tr>
      <w:tr>
        <w:trPr>
          <w:trHeight w:val="82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ИДК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Дорожная карта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 мероприятий («дорожная карта») по улучшению администрирования доходов бюджетной системы</w:t>
              <w:br/>
              <w:t>и повышению эффективности работы с дебиторской задолженностью, утвержденный Председателем Правительства Российской Федерации Д.А. Медведевым от 10.04.2016 № 2420п-П13</w:t>
            </w:r>
          </w:p>
        </w:tc>
      </w:tr>
      <w:tr>
        <w:trPr>
          <w:trHeight w:val="82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ИДК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Дорожная карта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 мероприятий («дорожная карта») «Автонет» Национальной технологической инициативы, одобренный протоколом заседания президиума Совета при Президенте Российской Федерации по модернизации экономики и инновационному развитию России от 24.06.2016 № 3</w:t>
            </w:r>
          </w:p>
        </w:tc>
      </w:tr>
      <w:tr>
        <w:trPr>
          <w:trHeight w:val="779"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ИДК 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Дорожная карта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 мероприятий («дорожная карта») «Маринет» Национальной технологической инициативы, одобренный протоколом заседания президиума Совета при Президенте Российской Федерации по модернизации экономики и инновационному развитию России от 24.06.2016 № 3</w:t>
            </w:r>
          </w:p>
        </w:tc>
      </w:tr>
      <w:tr>
        <w:trPr>
          <w:trHeight w:val="723"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ИДК 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Дорожная карта</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 мероприятий («дорожная карта») «Аэронет» Национальной технологической инициативы, одобренный протоколом заседания президиума Совета при Президенте Российской Федерации по модернизации экономики и инновационному развитию России от 24.06.2016 № 3</w:t>
            </w:r>
          </w:p>
        </w:tc>
      </w:tr>
      <w:tr>
        <w:trPr>
          <w:trHeight w:val="56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КПМ 1</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Комплекс процессных мероприятий</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Комплекс процессных мероприятий «Капитальный ремонт, ремонт и содержание автомобильных дорог общего пользования федерального значения» (2022-2024) </w:t>
            </w:r>
            <w:r>
              <w:rPr>
                <w:rFonts w:eastAsia="Tahoma" w:cs="Droid Sans Devanagari"/>
                <w:color w:val="000000"/>
                <w:spacing w:val="0"/>
                <w:kern w:val="0"/>
                <w:sz w:val="20"/>
                <w:szCs w:val="20"/>
                <w:lang w:val="ru-RU" w:eastAsia="zh-CN" w:bidi="hi-IN"/>
              </w:rP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544"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КПМ 2</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Комплекс процессных мероприятий</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Комплекс процессных мероприятий «Обеспечение эксплуатации внутренних водных путей</w:t>
              <w:br/>
              <w:t xml:space="preserve">и гидротехнических сооружений» (2022-2024) </w:t>
            </w:r>
            <w:r>
              <w:rPr>
                <w:rFonts w:eastAsia="Tahoma" w:cs="Droid Sans Devanagari"/>
                <w:color w:val="000000"/>
                <w:spacing w:val="0"/>
                <w:kern w:val="0"/>
                <w:sz w:val="20"/>
                <w:szCs w:val="20"/>
                <w:lang w:val="ru-RU" w:eastAsia="zh-CN" w:bidi="hi-IN"/>
              </w:rP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572"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КПМ 3</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Комплекс процессных мероприятий</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Комплекс процессных мероприятий «Обеспечение содержания (эксплуатации) пунктов пропуска через государственную границу Российской Федерации» (2022-2024) </w:t>
            </w:r>
            <w:r>
              <w:rPr>
                <w:rFonts w:eastAsia="Tahoma" w:cs="Droid Sans Devanagari"/>
                <w:color w:val="000000"/>
                <w:spacing w:val="0"/>
                <w:kern w:val="0"/>
                <w:sz w:val="20"/>
                <w:szCs w:val="20"/>
                <w:lang w:val="ru-RU" w:eastAsia="zh-CN" w:bidi="hi-IN"/>
              </w:rP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w:t>
              <w:br/>
              <w:t>от 20.09.2021 № 2)</w:t>
            </w:r>
          </w:p>
        </w:tc>
      </w:tr>
      <w:tr>
        <w:trPr>
          <w:trHeight w:val="836"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КПМ 4</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t>Комплекс процессных мероприятий</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Комплекс процессных мероприятий «Обеспечение деятельности центрального и зарубежного аппарата Министерства транспорта Российской Федерации, а также подведомственных федеральных государственных учреждений» (2022-2024) </w:t>
            </w:r>
            <w:r>
              <w:rPr>
                <w:rFonts w:eastAsia="Tahoma" w:cs="Droid Sans Devanagari"/>
                <w:color w:val="000000"/>
                <w:spacing w:val="0"/>
                <w:kern w:val="0"/>
                <w:sz w:val="20"/>
                <w:szCs w:val="20"/>
                <w:lang w:val="ru-RU" w:eastAsia="zh-CN" w:bidi="hi-IN"/>
              </w:rPr>
              <w:t>(в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w:t>
            </w:r>
          </w:p>
        </w:tc>
      </w:tr>
      <w:tr>
        <w:trPr>
          <w:trHeight w:val="41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ИД СП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 от 28.06.2014 № 172-ФЗ «О стратегическом планировании в Российской Федерации»</w:t>
            </w:r>
          </w:p>
        </w:tc>
      </w:tr>
      <w:tr>
        <w:trPr>
          <w:trHeight w:val="34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 от 29.12.2004 № 190-ФЗ «Градостроительный кодекс Российской Федерации»</w:t>
            </w:r>
          </w:p>
        </w:tc>
      </w:tr>
      <w:tr>
        <w:trPr>
          <w:trHeight w:val="577"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Распоряжение Правительства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Распоряжение Правительства Российской Федерации от 30.01.2014 № 93-р «Об утверждении Концепции открытости федеральных органов исполнительной власти»</w:t>
            </w:r>
          </w:p>
        </w:tc>
      </w:tr>
      <w:tr>
        <w:trPr>
          <w:trHeight w:val="78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Постановление Правительства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Постановление Правительства Российской Федерации от 12.10.2017 № 1242 «О разработке, реализации и об оценке эффективности отдельных государственных программ Российской Федерации»</w:t>
            </w:r>
          </w:p>
        </w:tc>
      </w:tr>
      <w:tr>
        <w:trPr>
          <w:trHeight w:val="40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Распоряжение Правительства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Распоряжение Правительства Российской Федерации от 16.08.2018 № 1697-р «Об утверждении плана мероприятий («дорожной карты») по развитию конкуренции в отраслях экономики Российской Федерации и переходу отдельных сфер естественных монополий из состояния естественной монополии в состояние конкурентного рынка на 2018 - 2020 годы»</w:t>
            </w:r>
          </w:p>
        </w:tc>
      </w:tr>
      <w:tr>
        <w:trPr>
          <w:trHeight w:val="58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8</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Распоряжение Правительства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Распоряжение Правительства Российской Федерации от 17.01.2019 № 20-р «Об утверждении плана «Трансформация делового климата»</w:t>
            </w:r>
          </w:p>
        </w:tc>
      </w:tr>
      <w:tr>
        <w:trPr>
          <w:trHeight w:val="277"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9</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 от 09.02.2007 № 16-ФЗ «О транспортной безопасности»</w:t>
            </w:r>
          </w:p>
        </w:tc>
      </w:tr>
      <w:tr>
        <w:trPr>
          <w:trHeight w:val="68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10</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 от 27.07.2006 № 149-ФЗ «Об информации, информационных технологиях и о защите информации»</w:t>
            </w:r>
          </w:p>
        </w:tc>
      </w:tr>
      <w:tr>
        <w:trPr>
          <w:trHeight w:val="33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 от 26.07.2017 № 187-ФЗ «О безопасности критической информационной инфраструктуры»</w:t>
            </w:r>
          </w:p>
        </w:tc>
      </w:tr>
      <w:tr>
        <w:trPr>
          <w:trHeight w:val="80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Концепция</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Концепция государственной системы обнаружения, предупреждения и ликвидации последствий компьютерных атак на информационные ресурсы Российской Федерации, утвержденная Президентом Российской Федерации 12.12.2014 № К 1274</w:t>
            </w:r>
          </w:p>
        </w:tc>
      </w:tr>
      <w:tr>
        <w:trPr>
          <w:trHeight w:val="73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План</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План создания государственной системы обнаружения, предупреждения и ликвидации последствий компьютерных атак, утвержденный Президентом Российской Федерации </w:t>
              <w:br/>
              <w:t>21.08.2015</w:t>
            </w:r>
          </w:p>
        </w:tc>
      </w:tr>
      <w:tr>
        <w:trPr>
          <w:trHeight w:val="1015"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Постановление Правительства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Постановление Правительства Российской Федерации </w:t>
              <w:br/>
              <w:t>от 08.02.2018 № 127 «Об утверждении Правил категорирования объектов критической информационной инфраструктуры Российской Федерации, а также перечня показателей критериев значимости объектов критической информационной инфраструктуры Российской Федерации и их значений»</w:t>
            </w:r>
          </w:p>
        </w:tc>
      </w:tr>
      <w:tr>
        <w:trPr>
          <w:trHeight w:val="40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Постановление Правительства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Постановление Правительства Российской Федерации </w:t>
              <w:br/>
              <w:t>от 17.02.2018 № 162 «Об утверждении Правил осуществления государственного контроля в области обеспечения безопасности значимых объектов критической информационной инфраструктуры Российской Федерации»</w:t>
            </w:r>
          </w:p>
        </w:tc>
      </w:tr>
      <w:tr>
        <w:trPr>
          <w:trHeight w:val="1051"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16</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Рекомендации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Рекомендации Центра защиты информации и специальной связи Федеральной службы безопасности Российской Федерации (8 Центр) от 24.12.2016 № 149/2/7-200 «Методические рекомендации по созданию ведомственных и корпоративных центров государственной системы обнаружения, предупреждения и ликвидации последствий компьютерных атак на информационные ресурсы Российской Федерации»</w:t>
            </w:r>
          </w:p>
        </w:tc>
      </w:tr>
      <w:tr>
        <w:trPr>
          <w:trHeight w:val="508"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безопасности Российской Федерации</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безопасности Российской Федерации</w:t>
              <w:br/>
              <w:t>от 24.07.2018 № 366 «О Национальном координационном центре по компьютерным инцидентам»</w:t>
            </w:r>
          </w:p>
        </w:tc>
      </w:tr>
      <w:tr>
        <w:trPr>
          <w:trHeight w:val="124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18</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 от 14.03.2014 № 31 «Об утверждении требований к обеспечению защиты информации в автоматизированных системах управления производственными и технологическими процессами на критически важных объектах, потенциально опасных объектах,а также объектах, представляющих повышенную опасность для жизни и здоровья людей и для окружающей природной среды»</w:t>
            </w:r>
          </w:p>
        </w:tc>
      </w:tr>
      <w:tr>
        <w:trPr>
          <w:trHeight w:val="40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19</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 от 09.08.2018 № 138 «О внесении изменений в Требования к обеспечению защиты информации в автоматизированных системах управления производственными и технологическими процессами на критически важных объектах, потенциально опасных объектах, а также объектах, представляющих повышенную опасность для жизни и здоровья людей и для окружающей природной среды, утвержденные приказом Федеральной службы по техническому и экспортному контролю от 14.03.2014 № 31, и в Требования по обеспечению безопасности значимых объектов критической информационной инфраструктуры Российской Федерации, утвержденные приказом Федеральной службы по техническому и экспортному контролю от 25.12.2017 № 239»</w:t>
            </w:r>
          </w:p>
          <w:p>
            <w:pPr>
              <w:pStyle w:val="Normal"/>
              <w:widowControl w:val="false"/>
              <w:suppressAutoHyphens w:val="true"/>
              <w:spacing w:lineRule="auto" w:line="240" w:before="0" w:after="0"/>
              <w:ind w:left="0" w:right="0" w:hanging="0"/>
              <w:jc w:val="both"/>
              <w:rPr>
                <w:rFonts w:ascii="Times New Roman" w:hAnsi="Times New Roman"/>
                <w:color w:val="000000"/>
                <w:spacing w:val="0"/>
                <w:kern w:val="0"/>
                <w:sz w:val="20"/>
                <w:szCs w:val="20"/>
              </w:rPr>
            </w:pPr>
            <w:r>
              <w:rPr>
                <w:color w:val="000000"/>
                <w:spacing w:val="0"/>
                <w:kern w:val="0"/>
                <w:sz w:val="20"/>
                <w:szCs w:val="20"/>
              </w:rPr>
            </w:r>
          </w:p>
        </w:tc>
      </w:tr>
      <w:tr>
        <w:trPr>
          <w:trHeight w:val="841"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20</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 от 06.12.2017 № 227 «Об утверждении Порядка ведения реестра значимых объектов критической информационной инфраструктуры Российской Федерации»</w:t>
            </w:r>
          </w:p>
        </w:tc>
      </w:tr>
      <w:tr>
        <w:trPr>
          <w:trHeight w:val="90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21</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 от 11.12.2017 № 229 «Об утверждении формы акта проверки, составляемого по итогам проведения государственного контроля в области обеспечения безопасности значимых объектов критической информационной инфраструктуры Российской Федерации»</w:t>
            </w:r>
          </w:p>
        </w:tc>
      </w:tr>
      <w:tr>
        <w:trPr>
          <w:trHeight w:val="85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22</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 от 21.12.2017 № 235 «Об утверждении Требований к созданию систем безопасности значимых объектов критической информационной инфраструктуры Российской Федерации и обеспечению их функционирования»</w:t>
            </w:r>
          </w:p>
        </w:tc>
      </w:tr>
      <w:tr>
        <w:trPr>
          <w:trHeight w:val="1039"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23</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 от 22.12.2017 № 236 «Об утверждении формы направления сведений о результатах присвоения объекту критической информационной инфраструктуры одной из категорий значимости либо об отсутствии необходимости присвоения ему одной из таких категорий»</w:t>
            </w:r>
          </w:p>
        </w:tc>
      </w:tr>
      <w:tr>
        <w:trPr>
          <w:trHeight w:val="784"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24</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Приказ Федеральной службы по техническому и экспортному контролю от 25.12.2017 № 239 «Об утверждении Требований по обеспечению безопасности значимых объектов критической информационной инфраструктуры Российской Федерации»</w:t>
            </w:r>
          </w:p>
        </w:tc>
      </w:tr>
      <w:tr>
        <w:trPr>
          <w:trHeight w:val="1016"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25</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Информационное сообщение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Информационное сообщение Федеральной службы по техническому и экспортному контролю от 04.05.2018 № 240/22/2339 «О методических документах по вопросам обеспечения безопасности информации в ключевых системах информационной инфраструктуры Российской Федерации»</w:t>
            </w:r>
          </w:p>
        </w:tc>
      </w:tr>
      <w:tr>
        <w:trPr>
          <w:trHeight w:val="40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26</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Специальные нормативные документы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Специальные нормативные документы Федеральной службы по техническому и экспортному контролю</w:t>
              <w:br/>
              <w:t>от 18.05.2007 «Базовая модель угроз безопасности информации в ключевых системах информационной инфраструктуры»</w:t>
            </w:r>
          </w:p>
        </w:tc>
      </w:tr>
      <w:tr>
        <w:trPr>
          <w:trHeight w:val="40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27</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Специальные нормативные документы Федеральной службы по техническому и экспортному контролю</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Специальные нормативные документы Федеральной службы по техническому и экспортному контролю</w:t>
              <w:br/>
              <w:t>от 18.05.2007 «Методика определения актуальных угроз безопасности информации в ключевых системах информационной инфраструктуры»</w:t>
            </w:r>
          </w:p>
        </w:tc>
      </w:tr>
      <w:tr>
        <w:trPr>
          <w:trHeight w:val="400" w:hRule="atLeast"/>
        </w:trPr>
        <w:tc>
          <w:tcPr>
            <w:tcW w:w="10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28</w:t>
            </w:r>
          </w:p>
        </w:tc>
        <w:tc>
          <w:tcPr>
            <w:tcW w:w="4604"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ГОСТ</w:t>
            </w:r>
          </w:p>
        </w:tc>
        <w:tc>
          <w:tcPr>
            <w:tcW w:w="9815"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ГОСТ Р 50922-2006 «Защита информации. Основные термины и определения»</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29</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Федеральный закон</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Федеральный закон от 05.04.2013 № 44-ФЗ </w:t>
            </w:r>
            <w:r>
              <w:rPr>
                <w:rFonts w:eastAsia="Tahoma" w:cs="Droid Sans Devanagari"/>
                <w:color w:val="000000"/>
                <w:spacing w:val="0"/>
                <w:kern w:val="0"/>
                <w:sz w:val="20"/>
                <w:szCs w:val="20"/>
                <w:lang w:val="ru-RU" w:eastAsia="zh-CN" w:bidi="hi-IN"/>
              </w:rPr>
              <w:t>«</w:t>
            </w:r>
            <w:r>
              <w:rPr>
                <w:color w:val="000000"/>
                <w:spacing w:val="0"/>
                <w:kern w:val="0"/>
                <w:sz w:val="20"/>
                <w:szCs w:val="20"/>
              </w:rPr>
              <w:t>О контрактной системе в сфере закупок товаров, работ, услуг для обеспечения государственных и муниципальных нужд</w:t>
            </w:r>
            <w:r>
              <w:rPr>
                <w:rFonts w:eastAsia="Tahoma" w:cs="Droid Sans Devanagari"/>
                <w:color w:val="000000"/>
                <w:spacing w:val="0"/>
                <w:kern w:val="0"/>
                <w:sz w:val="20"/>
                <w:szCs w:val="20"/>
                <w:lang w:val="ru-RU" w:eastAsia="zh-CN" w:bidi="hi-IN"/>
              </w:rPr>
              <w:t>»</w:t>
            </w:r>
          </w:p>
        </w:tc>
      </w:tr>
      <w:tr>
        <w:trPr>
          <w:trHeight w:val="400" w:hRule="atLeast"/>
        </w:trPr>
        <w:tc>
          <w:tcPr>
            <w:tcW w:w="10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ПД 30</w:t>
            </w:r>
          </w:p>
        </w:tc>
        <w:tc>
          <w:tcPr>
            <w:tcW w:w="4604"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Долгосрочные программы развития, инвестиционные программы организаций </w:t>
            </w:r>
          </w:p>
        </w:tc>
        <w:tc>
          <w:tcPr>
            <w:tcW w:w="9815"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Долгосрочные программы развития, инвестиционные программы организаций в отношении которых Минтранс России (а также подведомственная ему федеральная служба и федеральные агентства) в рамках полномочий, установленных законодательством Российской Федерации, осуществляет функции по рассмотрению, согласованию, утверждению, мониторингу либо контролю реализации</w:t>
            </w:r>
          </w:p>
        </w:tc>
      </w:tr>
    </w:tbl>
    <w:p>
      <w:pPr>
        <w:pStyle w:val="Normal"/>
        <w:rPr>
          <w:sz w:val="28"/>
        </w:rPr>
      </w:pPr>
      <w:r>
        <w:rPr>
          <w:sz w:val="28"/>
        </w:rPr>
      </w:r>
      <w:r>
        <w:br w:type="page"/>
      </w:r>
    </w:p>
    <w:tbl>
      <w:tblPr>
        <w:tblW w:w="15434" w:type="dxa"/>
        <w:jc w:val="left"/>
        <w:tblInd w:w="-188" w:type="dxa"/>
        <w:tblLayout w:type="fixed"/>
        <w:tblCellMar>
          <w:top w:w="0" w:type="dxa"/>
          <w:left w:w="108" w:type="dxa"/>
          <w:bottom w:w="0" w:type="dxa"/>
          <w:right w:w="108" w:type="dxa"/>
        </w:tblCellMar>
      </w:tblPr>
      <w:tblGrid>
        <w:gridCol w:w="15321"/>
        <w:gridCol w:w="112"/>
      </w:tblGrid>
      <w:tr>
        <w:trPr>
          <w:tblHeader w:val="true"/>
          <w:trHeight w:val="85" w:hRule="atLeast"/>
        </w:trPr>
        <w:tc>
          <w:tcPr>
            <w:tcW w:w="15321" w:type="dxa"/>
            <w:tcBorders>
              <w:top w:val="single" w:sz="4" w:space="0" w:color="000000"/>
            </w:tcBorders>
            <w:vAlign w:val="center"/>
          </w:tcPr>
          <w:p>
            <w:pPr>
              <w:pStyle w:val="Normal"/>
              <w:pageBreakBefore/>
              <w:widowControl w:val="false"/>
              <w:suppressAutoHyphens w:val="true"/>
              <w:bidi w:val="0"/>
              <w:spacing w:lineRule="auto" w:line="240" w:before="0" w:after="0"/>
              <w:ind w:left="9071" w:right="0" w:hanging="0"/>
              <w:jc w:val="center"/>
              <w:rPr>
                <w:sz w:val="20"/>
              </w:rPr>
            </w:pPr>
            <w:r>
              <w:rPr>
                <w:sz w:val="20"/>
              </w:rPr>
            </w:r>
          </w:p>
          <w:p>
            <w:pPr>
              <w:pStyle w:val="Normal"/>
              <w:widowControl w:val="false"/>
              <w:suppressAutoHyphens w:val="true"/>
              <w:bidi w:val="0"/>
              <w:spacing w:lineRule="auto" w:line="240" w:before="0" w:after="0"/>
              <w:ind w:left="9071" w:right="0" w:hanging="0"/>
              <w:jc w:val="center"/>
              <w:rPr>
                <w:color w:val="000000"/>
                <w:spacing w:val="0"/>
                <w:kern w:val="0"/>
                <w:sz w:val="28"/>
                <w:szCs w:val="20"/>
              </w:rPr>
            </w:pPr>
            <w:r>
              <w:rPr>
                <w:color w:val="000000"/>
                <w:spacing w:val="0"/>
                <w:kern w:val="0"/>
                <w:sz w:val="28"/>
                <w:szCs w:val="20"/>
              </w:rPr>
              <w:t>ПРИЛОЖЕНИЕ</w:t>
            </w:r>
          </w:p>
        </w:tc>
        <w:tc>
          <w:tcPr>
            <w:tcW w:w="112" w:type="dxa"/>
            <w:tcBorders>
              <w:top w:val="single" w:sz="4" w:space="0" w:color="000000"/>
            </w:tcBorders>
          </w:tcPr>
          <w:p>
            <w:pPr>
              <w:pStyle w:val="Normal"/>
              <w:widowControl w:val="false"/>
              <w:suppressAutoHyphens w:val="true"/>
              <w:spacing w:lineRule="auto" w:line="240" w:before="0" w:after="0"/>
              <w:ind w:left="0" w:right="0" w:hanging="0"/>
              <w:jc w:val="left"/>
              <w:rPr>
                <w:rFonts w:ascii="Times New Roman" w:hAnsi="Times New Roman"/>
                <w:color w:val="000000"/>
                <w:spacing w:val="0"/>
                <w:kern w:val="0"/>
                <w:sz w:val="20"/>
                <w:szCs w:val="20"/>
              </w:rPr>
            </w:pPr>
            <w:r>
              <w:rPr>
                <w:color w:val="000000"/>
                <w:spacing w:val="0"/>
                <w:kern w:val="0"/>
                <w:sz w:val="20"/>
                <w:szCs w:val="20"/>
              </w:rPr>
            </w:r>
          </w:p>
        </w:tc>
      </w:tr>
      <w:tr>
        <w:trPr>
          <w:tblHeader w:val="true"/>
        </w:trPr>
        <w:tc>
          <w:tcPr>
            <w:tcW w:w="15433" w:type="dxa"/>
            <w:gridSpan w:val="2"/>
            <w:tcBorders/>
            <w:vAlign w:val="center"/>
          </w:tcPr>
          <w:p>
            <w:pPr>
              <w:pStyle w:val="Normal"/>
              <w:widowControl w:val="false"/>
              <w:suppressAutoHyphens w:val="true"/>
              <w:bidi w:val="0"/>
              <w:spacing w:lineRule="auto" w:line="240" w:before="0" w:after="0"/>
              <w:ind w:left="9071" w:right="0" w:hanging="0"/>
              <w:jc w:val="center"/>
              <w:rPr>
                <w:color w:val="000000"/>
                <w:spacing w:val="0"/>
                <w:kern w:val="0"/>
                <w:sz w:val="28"/>
                <w:szCs w:val="20"/>
              </w:rPr>
            </w:pPr>
            <w:r>
              <w:rPr>
                <w:color w:val="000000"/>
                <w:spacing w:val="0"/>
                <w:kern w:val="0"/>
                <w:sz w:val="28"/>
                <w:szCs w:val="20"/>
              </w:rPr>
              <w:t xml:space="preserve">к плану-графику мероприятий </w:t>
              <w:br/>
              <w:t>по реализации документов стратегического планирования</w:t>
            </w:r>
          </w:p>
          <w:p>
            <w:pPr>
              <w:pStyle w:val="Normal"/>
              <w:widowControl w:val="false"/>
              <w:suppressAutoHyphens w:val="true"/>
              <w:bidi w:val="0"/>
              <w:spacing w:lineRule="auto" w:line="240" w:before="0" w:after="0"/>
              <w:ind w:left="9071" w:right="0" w:hanging="0"/>
              <w:jc w:val="center"/>
              <w:rPr>
                <w:sz w:val="28"/>
              </w:rPr>
            </w:pPr>
            <w:r>
              <w:rPr>
                <w:color w:val="000000"/>
                <w:spacing w:val="0"/>
                <w:kern w:val="0"/>
                <w:sz w:val="28"/>
                <w:szCs w:val="20"/>
              </w:rPr>
              <w:t xml:space="preserve">корректировки Плана деятельности Министерства транспорта Российской Федерации </w:t>
              <w:br/>
              <w:t xml:space="preserve">на 2019–2024 годы </w:t>
              <w:br/>
            </w:r>
            <w:r>
              <w:rPr>
                <w:color w:val="000000"/>
                <w:spacing w:val="0"/>
                <w:kern w:val="0"/>
                <w:sz w:val="28"/>
                <w:szCs w:val="20"/>
                <w:shd w:fill="auto" w:val="clear"/>
              </w:rPr>
              <w:t>(утв. __________202</w:t>
            </w:r>
            <w:r>
              <w:rPr>
                <w:b w:val="false"/>
                <w:bCs w:val="false"/>
                <w:color w:val="000000"/>
                <w:spacing w:val="0"/>
                <w:kern w:val="0"/>
                <w:sz w:val="28"/>
                <w:szCs w:val="20"/>
                <w:shd w:fill="auto" w:val="clear"/>
              </w:rPr>
              <w:t>1</w:t>
            </w:r>
            <w:r>
              <w:rPr>
                <w:color w:val="000000"/>
                <w:spacing w:val="0"/>
                <w:kern w:val="0"/>
                <w:sz w:val="28"/>
                <w:szCs w:val="20"/>
                <w:shd w:fill="auto" w:val="clear"/>
              </w:rPr>
              <w:t xml:space="preserve"> года)</w:t>
            </w:r>
          </w:p>
        </w:tc>
      </w:tr>
    </w:tbl>
    <w:p>
      <w:pPr>
        <w:pStyle w:val="Normal"/>
        <w:jc w:val="center"/>
        <w:rPr>
          <w:sz w:val="28"/>
        </w:rPr>
      </w:pPr>
      <w:r>
        <w:rPr>
          <w:sz w:val="28"/>
        </w:rPr>
      </w:r>
    </w:p>
    <w:p>
      <w:pPr>
        <w:pStyle w:val="Normal"/>
        <w:jc w:val="center"/>
        <w:rPr>
          <w:sz w:val="28"/>
        </w:rPr>
      </w:pPr>
      <w:r>
        <w:rPr>
          <w:sz w:val="28"/>
        </w:rPr>
        <w:t xml:space="preserve">План мероприятий по реализации отдельных поручений и планов, ответственность за исполнение (соисполнение) которых закреплена решениями Президента Российской Федерации или Правительства Российской Федерации </w:t>
        <w:br/>
        <w:t>за Министерством транспорта Российской Федерации на 2019–2024 годы</w:t>
      </w:r>
    </w:p>
    <w:p>
      <w:pPr>
        <w:pStyle w:val="Normal"/>
        <w:jc w:val="center"/>
        <w:rPr>
          <w:sz w:val="28"/>
        </w:rPr>
      </w:pPr>
      <w:r>
        <w:rPr>
          <w:sz w:val="28"/>
        </w:rPr>
      </w:r>
    </w:p>
    <w:tbl>
      <w:tblPr>
        <w:tblW w:w="15589" w:type="dxa"/>
        <w:jc w:val="left"/>
        <w:tblInd w:w="-431" w:type="dxa"/>
        <w:tblLayout w:type="fixed"/>
        <w:tblCellMar>
          <w:top w:w="0" w:type="dxa"/>
          <w:left w:w="108" w:type="dxa"/>
          <w:bottom w:w="0" w:type="dxa"/>
          <w:right w:w="108" w:type="dxa"/>
        </w:tblCellMar>
      </w:tblPr>
      <w:tblGrid>
        <w:gridCol w:w="562"/>
        <w:gridCol w:w="4967"/>
        <w:gridCol w:w="1843"/>
        <w:gridCol w:w="140"/>
        <w:gridCol w:w="1559"/>
        <w:gridCol w:w="143"/>
        <w:gridCol w:w="2069"/>
        <w:gridCol w:w="2332"/>
        <w:gridCol w:w="1973"/>
      </w:tblGrid>
      <w:tr>
        <w:trPr>
          <w:trHeight w:val="1155"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r>
          </w:p>
        </w:tc>
        <w:tc>
          <w:tcPr>
            <w:tcW w:w="49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both"/>
              <w:rPr>
                <w:color w:val="000000"/>
                <w:sz w:val="20"/>
                <w:shd w:fill="auto" w:val="clear"/>
              </w:rPr>
            </w:pPr>
            <w:r>
              <w:rPr>
                <w:color w:val="000000"/>
                <w:sz w:val="20"/>
                <w:shd w:fill="auto" w:val="clear"/>
              </w:rPr>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hd w:fill="auto" w:val="clear"/>
              </w:rPr>
            </w:pPr>
            <w:r>
              <w:rPr>
                <w:color w:val="000000"/>
                <w:sz w:val="20"/>
                <w:shd w:fill="auto" w:val="clear"/>
              </w:rPr>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hd w:fill="auto" w:val="clear"/>
              </w:rPr>
            </w:pPr>
            <w:r>
              <w:rPr>
                <w:color w:val="000000"/>
                <w:sz w:val="20"/>
                <w:shd w:fill="auto" w:val="clear"/>
              </w:rPr>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hd w:fill="auto" w:val="clear"/>
              </w:rPr>
            </w:pPr>
            <w:r>
              <w:rPr>
                <w:color w:val="000000"/>
                <w:sz w:val="20"/>
                <w:shd w:fill="auto" w:val="clear"/>
              </w:rPr>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ascii="Times New Roman" w:hAnsi="Times New Roman"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r>
          </w:p>
        </w:tc>
      </w:tr>
      <w:tr>
        <w:trPr>
          <w:trHeight w:val="1155" w:hRule="atLeast"/>
        </w:trPr>
        <w:tc>
          <w:tcPr>
            <w:tcW w:w="562" w:type="dxa"/>
            <w:vMerge w:val="restart"/>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w:t>
            </w:r>
          </w:p>
        </w:tc>
        <w:tc>
          <w:tcPr>
            <w:tcW w:w="4967" w:type="dxa"/>
            <w:vMerge w:val="restart"/>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Мероприятие</w:t>
            </w:r>
          </w:p>
        </w:tc>
        <w:tc>
          <w:tcPr>
            <w:tcW w:w="1983" w:type="dxa"/>
            <w:gridSpan w:val="2"/>
            <w:vMerge w:val="restart"/>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Поручение Президента Российской Федерации</w:t>
            </w:r>
          </w:p>
        </w:tc>
        <w:tc>
          <w:tcPr>
            <w:tcW w:w="1702" w:type="dxa"/>
            <w:gridSpan w:val="2"/>
            <w:vMerge w:val="restart"/>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108" w:right="0" w:hanging="0"/>
              <w:jc w:val="center"/>
              <w:rPr>
                <w:color w:val="000000"/>
                <w:spacing w:val="0"/>
                <w:kern w:val="0"/>
                <w:sz w:val="20"/>
                <w:szCs w:val="20"/>
              </w:rPr>
            </w:pPr>
            <w:r>
              <w:rPr>
                <w:color w:val="000000"/>
                <w:spacing w:val="0"/>
                <w:kern w:val="0"/>
                <w:sz w:val="20"/>
                <w:szCs w:val="20"/>
              </w:rPr>
              <w:t>Поручение Правительства</w:t>
              <w:br/>
              <w:t>Российской Федерации</w:t>
            </w:r>
          </w:p>
        </w:tc>
        <w:tc>
          <w:tcPr>
            <w:tcW w:w="2069" w:type="dxa"/>
            <w:vMerge w:val="restart"/>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Индикатор реализации мероприятия</w:t>
            </w:r>
          </w:p>
        </w:tc>
        <w:tc>
          <w:tcPr>
            <w:tcW w:w="2332" w:type="dxa"/>
            <w:vMerge w:val="restart"/>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Ответственные исполнители</w:t>
            </w:r>
          </w:p>
        </w:tc>
        <w:tc>
          <w:tcPr>
            <w:tcW w:w="1973" w:type="dxa"/>
            <w:vMerge w:val="restart"/>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Срок исполнения</w:t>
            </w:r>
          </w:p>
        </w:tc>
      </w:tr>
      <w:tr>
        <w:trPr>
          <w:trHeight w:val="276" w:hRule="atLeast"/>
        </w:trPr>
        <w:tc>
          <w:tcPr>
            <w:tcW w:w="562" w:type="dxa"/>
            <w:vMerge w:val="continue"/>
            <w:tcBorders>
              <w:left w:val="single" w:sz="4" w:space="0" w:color="000000"/>
              <w:bottom w:val="single" w:sz="4" w:space="0" w:color="000000"/>
              <w:right w:val="single" w:sz="4" w:space="0" w:color="000000"/>
            </w:tcBorders>
            <w:vAlign w:val="center"/>
          </w:tcPr>
          <w:p>
            <w:pPr>
              <w:pStyle w:val="Normal"/>
              <w:widowControl w:val="false"/>
              <w:rPr/>
            </w:pPr>
            <w:r>
              <w:rPr/>
            </w:r>
          </w:p>
        </w:tc>
        <w:tc>
          <w:tcPr>
            <w:tcW w:w="4967" w:type="dxa"/>
            <w:vMerge w:val="continue"/>
            <w:tcBorders>
              <w:left w:val="single" w:sz="4" w:space="0" w:color="000000"/>
              <w:bottom w:val="single" w:sz="4" w:space="0" w:color="000000"/>
              <w:right w:val="single" w:sz="4" w:space="0" w:color="000000"/>
            </w:tcBorders>
            <w:vAlign w:val="center"/>
          </w:tcPr>
          <w:p>
            <w:pPr>
              <w:pStyle w:val="Normal"/>
              <w:widowControl w:val="false"/>
              <w:rPr/>
            </w:pPr>
            <w:r>
              <w:rPr/>
            </w:r>
          </w:p>
        </w:tc>
        <w:tc>
          <w:tcPr>
            <w:tcW w:w="1983" w:type="dxa"/>
            <w:gridSpan w:val="2"/>
            <w:vMerge w:val="continue"/>
            <w:tcBorders>
              <w:left w:val="single" w:sz="4" w:space="0" w:color="000000"/>
              <w:bottom w:val="single" w:sz="4" w:space="0" w:color="000000"/>
              <w:right w:val="single" w:sz="4" w:space="0" w:color="000000"/>
            </w:tcBorders>
            <w:vAlign w:val="center"/>
          </w:tcPr>
          <w:p>
            <w:pPr>
              <w:pStyle w:val="Normal"/>
              <w:widowControl w:val="false"/>
              <w:rPr/>
            </w:pPr>
            <w:r>
              <w:rPr/>
            </w:r>
          </w:p>
        </w:tc>
        <w:tc>
          <w:tcPr>
            <w:tcW w:w="1702" w:type="dxa"/>
            <w:gridSpan w:val="2"/>
            <w:vMerge w:val="continue"/>
            <w:tcBorders>
              <w:left w:val="single" w:sz="4" w:space="0" w:color="000000"/>
              <w:bottom w:val="single" w:sz="4" w:space="0" w:color="000000"/>
              <w:right w:val="single" w:sz="4" w:space="0" w:color="000000"/>
            </w:tcBorders>
            <w:vAlign w:val="center"/>
          </w:tcPr>
          <w:p>
            <w:pPr>
              <w:pStyle w:val="Normal"/>
              <w:widowControl w:val="false"/>
              <w:rPr/>
            </w:pPr>
            <w:r>
              <w:rPr/>
            </w:r>
          </w:p>
        </w:tc>
        <w:tc>
          <w:tcPr>
            <w:tcW w:w="2069" w:type="dxa"/>
            <w:vMerge w:val="continue"/>
            <w:tcBorders>
              <w:left w:val="single" w:sz="4" w:space="0" w:color="000000"/>
              <w:bottom w:val="single" w:sz="4" w:space="0" w:color="000000"/>
              <w:right w:val="single" w:sz="4" w:space="0" w:color="000000"/>
            </w:tcBorders>
            <w:vAlign w:val="center"/>
          </w:tcPr>
          <w:p>
            <w:pPr>
              <w:pStyle w:val="Normal"/>
              <w:widowControl w:val="false"/>
              <w:rPr/>
            </w:pPr>
            <w:r>
              <w:rPr/>
            </w:r>
          </w:p>
        </w:tc>
        <w:tc>
          <w:tcPr>
            <w:tcW w:w="2332" w:type="dxa"/>
            <w:vMerge w:val="continue"/>
            <w:tcBorders>
              <w:left w:val="single" w:sz="4" w:space="0" w:color="000000"/>
              <w:bottom w:val="single" w:sz="4" w:space="0" w:color="000000"/>
              <w:right w:val="single" w:sz="4" w:space="0" w:color="000000"/>
            </w:tcBorders>
            <w:vAlign w:val="center"/>
          </w:tcPr>
          <w:p>
            <w:pPr>
              <w:pStyle w:val="Normal"/>
              <w:widowControl w:val="false"/>
              <w:rPr/>
            </w:pPr>
            <w:r>
              <w:rPr/>
            </w:r>
          </w:p>
        </w:tc>
        <w:tc>
          <w:tcPr>
            <w:tcW w:w="1973" w:type="dxa"/>
            <w:vMerge w:val="continue"/>
            <w:tcBorders>
              <w:left w:val="single" w:sz="4" w:space="0" w:color="000000"/>
              <w:bottom w:val="single" w:sz="4" w:space="0" w:color="000000"/>
              <w:right w:val="single" w:sz="4" w:space="0" w:color="000000"/>
            </w:tcBorders>
            <w:vAlign w:val="center"/>
          </w:tcPr>
          <w:p>
            <w:pPr>
              <w:pStyle w:val="Normal"/>
              <w:widowControl w:val="false"/>
              <w:rPr/>
            </w:pPr>
            <w:r>
              <w:rPr/>
            </w:r>
          </w:p>
        </w:tc>
      </w:tr>
      <w:tr>
        <w:trPr>
          <w:trHeight w:val="176" w:hRule="atLeast"/>
        </w:trPr>
        <w:tc>
          <w:tcPr>
            <w:tcW w:w="15588" w:type="dxa"/>
            <w:gridSpan w:val="9"/>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2019 год</w:t>
            </w:r>
          </w:p>
        </w:tc>
      </w:tr>
      <w:tr>
        <w:trPr>
          <w:trHeight w:val="1761"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 xml:space="preserve">Обеспечение финансирования дноуглубительных работ на реке Зея в целях доставки крупногабаритных и тяжеловесных грузов, необходимых для строительства Амурского газоперерабатывающего завода и Амурского газохимического комплекса </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pacing w:val="0"/>
                <w:kern w:val="0"/>
                <w:sz w:val="20"/>
                <w:szCs w:val="20"/>
              </w:rPr>
            </w:pPr>
            <w:r>
              <w:rPr>
                <w:b/>
                <w:bCs/>
                <w:color w:val="000000"/>
                <w:spacing w:val="0"/>
                <w:kern w:val="0"/>
                <w:sz w:val="20"/>
                <w:szCs w:val="20"/>
              </w:rPr>
              <w:t>В.В. Клюев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Пр-1629</w:t>
              <w:br/>
              <w:t>от 18.08.2017</w:t>
              <w:br/>
              <w:t>(подпункт «д»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АД-П9-5684 </w:t>
              <w:br/>
              <w:t>от 29.08.2017</w:t>
              <w:br/>
              <w:t>(пункт 5)</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Минприроды России</w:t>
              <w:br/>
              <w:t>Минэрнерго России</w:t>
              <w:br/>
              <w:t>Минпромторг России</w:t>
              <w:br/>
              <w:t>Минфин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15.11.2017 </w:t>
              <w:br/>
              <w:t>далее - ежегодно</w:t>
            </w:r>
          </w:p>
        </w:tc>
      </w:tr>
      <w:tr>
        <w:trPr>
          <w:trHeight w:val="1507"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 xml:space="preserve">Представить предложения о выделении </w:t>
              <w:br/>
              <w:t>из федеральной целевой программы развития образования на 2016–2020 годы средств</w:t>
              <w:br/>
              <w:t>на формирование учебно-лабораторной, научно-исследовательской и   испытательной базы федерального государственного автономного образовательного учреждения высшего образования «Российский университет транспорта»</w:t>
            </w:r>
          </w:p>
          <w:p>
            <w:pPr>
              <w:pStyle w:val="Normal"/>
              <w:widowControl w:val="false"/>
              <w:suppressAutoHyphens w:val="true"/>
              <w:spacing w:lineRule="auto" w:line="240" w:before="0" w:after="0"/>
              <w:ind w:left="0" w:right="0" w:hanging="0"/>
              <w:jc w:val="both"/>
              <w:rPr>
                <w:b/>
                <w:b/>
                <w:bCs/>
                <w:color w:val="000000"/>
                <w:spacing w:val="0"/>
                <w:kern w:val="0"/>
                <w:sz w:val="20"/>
                <w:szCs w:val="20"/>
              </w:rPr>
            </w:pPr>
            <w:r>
              <w:rPr>
                <w:b/>
                <w:bCs/>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pacing w:val="0"/>
                <w:kern w:val="0"/>
                <w:sz w:val="20"/>
                <w:szCs w:val="20"/>
              </w:rPr>
            </w:pPr>
            <w:r>
              <w:rPr>
                <w:b/>
                <w:bCs/>
                <w:color w:val="000000"/>
                <w:spacing w:val="0"/>
                <w:kern w:val="0"/>
                <w:sz w:val="20"/>
                <w:szCs w:val="20"/>
              </w:rPr>
              <w:t>К.А. Пашков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Пр-2165ГС</w:t>
              <w:br/>
              <w:t>от 25.10.2017</w:t>
              <w:br/>
              <w:t>(часть 4 подпункта «к»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П9-33633</w:t>
              <w:br/>
              <w:t>от 19.06.2019</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Федерации (предложения Минтранса России, направленные в Минобрнауки России)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Минобрнауки России</w:t>
              <w:br/>
              <w:t>Минтранс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24.06.2019</w:t>
            </w:r>
          </w:p>
        </w:tc>
      </w:tr>
      <w:tr>
        <w:trPr>
          <w:trHeight w:val="1961"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Подготовка предложений по выравниванию условий, влияющих на конкурентоспособность российских автотранспортных предприятий на внутреннем и международном рынках автотранспортных услуг, в том числе на рынке Евразийского экономического союза, относительно иностранных перевозчиков</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А.С. Бакирей</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Пр-518</w:t>
              <w:br/>
              <w:t>от 28.03.2018</w:t>
              <w:br/>
              <w:t>(подпункт «в»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АД-П9-1991</w:t>
              <w:br/>
              <w:t>от 09.04.2018</w:t>
              <w:br/>
              <w:t>(пункт 3)</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Минэкономразвития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01.09.2019</w:t>
            </w:r>
          </w:p>
        </w:tc>
      </w:tr>
      <w:tr>
        <w:trPr>
          <w:trHeight w:val="220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Представить предложения о направлении</w:t>
              <w:br/>
              <w:t xml:space="preserve">в период действия долгосрочного тарифного регулирования всей чистой прибыли </w:t>
              <w:br/>
              <w:t>ОАО «РЖД», оставшейся после выплаты дивидендов по привилегированным акциям, на финансирование инвестиционной программы ОАО «РЖД», одобренной Правительством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tabs>
                <w:tab w:val="clear" w:pos="708"/>
                <w:tab w:val="center" w:pos="2375" w:leader="none"/>
              </w:tabs>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А.А. Федорчук</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Пр-1949</w:t>
              <w:br/>
              <w:t>от 24.10.2018</w:t>
              <w:br/>
              <w:t>(подпункт «б»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МА-П9-7550</w:t>
              <w:br/>
              <w:t>от 02.11.2018</w:t>
              <w:br/>
              <w:t>(пункт 2)</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ОАО «РЖД»</w:t>
              <w:br/>
              <w:t>Минтранс России</w:t>
              <w:br/>
              <w:t>Минэкономразвития России</w:t>
              <w:br/>
              <w:t>Минфин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16.01.2019</w:t>
            </w:r>
          </w:p>
        </w:tc>
      </w:tr>
      <w:tr>
        <w:trPr>
          <w:trHeight w:val="871"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Обеспечение создания механизмов стимулирования инвестиций организаций, осуществляющих перевалку угля в портах, расположенных на территориях субъектов Российской Федерации, входящих в состав Дальневосточного федерального округа,</w:t>
              <w:br/>
              <w:t>и экспорт угля через эти порты, и создание государственной (муниципальной) инфраструктуры в этих субъектах Российской Федерации, в том числе путем заключения партнерских соглашений указанных организаций с органами исполнительной власти субъектов Российской Федерации и органами местного самоуправления</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pacing w:val="0"/>
                <w:kern w:val="0"/>
                <w:sz w:val="20"/>
                <w:szCs w:val="20"/>
              </w:rPr>
            </w:pPr>
            <w:r>
              <w:rPr>
                <w:b/>
                <w:bCs/>
                <w:color w:val="000000"/>
                <w:spacing w:val="0"/>
                <w:kern w:val="0"/>
                <w:sz w:val="20"/>
                <w:szCs w:val="20"/>
              </w:rPr>
              <w:t>В.В. Клюев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Пр-1918ГС</w:t>
              <w:br/>
              <w:t>от 23.10.2018</w:t>
              <w:br/>
              <w:t>(подпункт «б» пункта 2)</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КЧ-П9-7979 </w:t>
              <w:br/>
              <w:t xml:space="preserve">от 16.11.2018 </w:t>
              <w:br/>
              <w:t>(пункт 15)</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Минвостокразвития России</w:t>
              <w:br/>
              <w:t>ОАО «РЖД»</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14.02.2019</w:t>
              <w:br/>
              <w:t xml:space="preserve">далее - раз </w:t>
              <w:br/>
              <w:t>в полгода</w:t>
            </w:r>
          </w:p>
        </w:tc>
      </w:tr>
      <w:tr>
        <w:trPr>
          <w:trHeight w:val="2357"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Разработка механизма государственной поддержки финансирования инвестиционной программы ОАО «РЖД» в части строительства разноуровневых развязок в местах пересечения с автомобильными дорогами и оборудования переездов средствами видеофиксации с учетом средств уплаченных ОАО «РЖД» акцизов в цене дизельного топлива на тягу поездов</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А.А. Федорчук</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Пр-2418</w:t>
              <w:br/>
              <w:t>от 18.12.2018</w:t>
              <w:br/>
              <w:t>(подпункт «к» пункта 3 раздела I)</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ДК-П9-62</w:t>
              <w:br/>
              <w:t>от 11.01.2019</w:t>
              <w:br/>
              <w:t>(пункт 10)</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Минэкономразвития России</w:t>
              <w:br/>
              <w:t>Минфин России</w:t>
              <w:br/>
              <w:t>ФАС России</w:t>
              <w:br/>
              <w:t>ОАО «РЖД»</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02.08.2019</w:t>
            </w:r>
          </w:p>
        </w:tc>
      </w:tr>
      <w:tr>
        <w:trPr>
          <w:trHeight w:val="48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Проведение оценки рисков реализации инфраструктурных проектов в рамках логистических решений по обеспечению увеличения экспорта российского угля с анализом возможностей загрузки будущей инфраструктуры прочими грузами и представление предложений по минимизации таких рисков</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bCs/>
                <w:color w:val="000000"/>
                <w:spacing w:val="0"/>
                <w:kern w:val="0"/>
                <w:sz w:val="20"/>
                <w:szCs w:val="20"/>
                <w:lang w:val="ru-RU" w:eastAsia="zh-CN" w:bidi="hi-IN"/>
              </w:rPr>
            </w:pPr>
            <w:r>
              <w:rPr>
                <w:rFonts w:eastAsia="Tahoma" w:cs="Droid Sans Devanagari"/>
                <w:b/>
                <w:bCs/>
                <w:color w:val="000000"/>
                <w:spacing w:val="0"/>
                <w:kern w:val="0"/>
                <w:sz w:val="20"/>
                <w:szCs w:val="20"/>
                <w:lang w:val="ru-RU" w:eastAsia="zh-CN" w:bidi="hi-IN"/>
              </w:rPr>
              <w:t>В.В. Клюев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Пр-2418</w:t>
              <w:br/>
              <w:t>от 18.12.2018</w:t>
              <w:br/>
              <w:t>(подпункт «в» пункта 4 раздела I)</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ДК-П9-62</w:t>
              <w:br/>
              <w:t>от 11.01.2019</w:t>
              <w:br/>
              <w:t>(пункт 23)</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Минэнерго России</w:t>
              <w:br/>
              <w:t>Минэкономразвития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ОАО «РЖД»</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05.06.2019</w:t>
              <w:br/>
              <w:t>далее - ежегодно</w:t>
            </w:r>
          </w:p>
        </w:tc>
      </w:tr>
      <w:tr>
        <w:trPr>
          <w:trHeight w:val="164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Разработка предложений по развитию парка городского пассажирского транспорта общего пользования на базе передовых отечественных технических решений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А.С. Бакирей</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Пр-754</w:t>
              <w:br/>
              <w:t>от 30.04.2019</w:t>
              <w:br/>
              <w:t>(пункт 4)</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ВМ-П9-3831 </w:t>
              <w:br/>
              <w:t>от 14.05.2019</w:t>
              <w:br/>
              <w:t>(пункт 4)</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Минтранс России </w:t>
              <w:br/>
              <w:t xml:space="preserve">Минфин России </w:t>
              <w:br/>
              <w:t xml:space="preserve">Минпромторг России </w:t>
              <w:br/>
              <w:t>Минэкономразвития России</w:t>
              <w:br/>
              <w:t>ПАО «ГТЛК»</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20.05.2019</w:t>
            </w:r>
          </w:p>
        </w:tc>
      </w:tr>
      <w:tr>
        <w:trPr>
          <w:trHeight w:val="3113"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Обеспечение расширения перечня случаев заключения контрактов жизненного цикла на выполнение работ по проектированию, строительству, реконструкции автомобильных дорог (участков автомобильных дорог), включая дорожные сооружения, являющиеся их технологической частью, последующее содержание (обслуживание), ремонт и при необходимости эксплуатацию указанных дорог (их участков) и дорожных сооружений, а также разработка методики определения начальной (максимальной) цены таких контрактов</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1 подпункта «в»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7)</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Минфин России</w:t>
              <w:br/>
              <w:t>Минстрой России</w:t>
              <w:br/>
              <w:t>ФАС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13.11.2019</w:t>
            </w:r>
          </w:p>
        </w:tc>
      </w:tr>
      <w:tr>
        <w:trPr>
          <w:trHeight w:val="764"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Обеспечение возможности заключения государственных и муниципальных контрактов, предусматривающих выполнение работ одновременно по содержанию (обслуживанию), ремонту и эксплуатации автомобильных дорог (участков автомобильных  дорог),  а  также  разработка методики определения начальной (максимальной) цены таких контрактов</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2 подпункта «в»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7)</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Минфин России</w:t>
              <w:br/>
              <w:t>Минстрой России</w:t>
              <w:br/>
              <w:t>ФАС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13.11.2019</w:t>
            </w:r>
          </w:p>
        </w:tc>
      </w:tr>
      <w:tr>
        <w:trPr>
          <w:trHeight w:val="1474"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11</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Рассмотрение вопроса об установлении возможности предоставления отдельного обеспечения исполнения контрактов жизненного цикла в сфере дорожной деятельности в отношении каждого из их этапов</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3 подпункта «в»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8)</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br/>
              <w:t>Минфин России</w:t>
              <w:br/>
              <w:t>ФАС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13.11.2019</w:t>
            </w:r>
          </w:p>
        </w:tc>
      </w:tr>
      <w:tr>
        <w:trPr>
          <w:trHeight w:val="210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Рассмотрение вопросов, касающихся перехода к отбору подрядных организаций с учетом дифференцированных требований к ним, в том числе в зависимости от сложности выполнения работ, наличия материально-технической базы, профессиональных кадров и опыта выполнения работ («лестница квалификаций»)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3 подпункта «н» пункта 1)</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31)</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br/>
              <w:t>Минфин России</w:t>
              <w:br/>
              <w:t>Минтруд России</w:t>
              <w:br/>
              <w:t>ФАС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12.09.2019</w:t>
            </w:r>
          </w:p>
        </w:tc>
      </w:tr>
      <w:tr>
        <w:trPr>
          <w:trHeight w:val="216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13</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Разработка программы реконструкции, капитального ремонта и ремонта находящихся в аварийном и предаварийном состоянии мостов и других искусственных дорожных сооружений, размещённых на автомобильных дорогах регионального и местного значения, определив источники финансирования указанной программы</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1 подпункта «а» пункта 3)</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34)</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Минфин России</w:t>
              <w:br/>
              <w:t>Минэкономразвития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12.11.2019</w:t>
            </w:r>
          </w:p>
        </w:tc>
      </w:tr>
      <w:tr>
        <w:trPr>
          <w:trHeight w:val="2828"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14</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Представить предложения о наделении органов исполнительной власти субъектов Российской Федерации полномочиями по осуществлению производства по делам об административных правонарушениях в области дорожного движения, включая нарушения правил движения тяжеловесных и (или) крупногабаритных транспортных средств, а также по осуществлению контроля за соблюдением норм и правил эксплуатации автомобильных дорог регионального и местного значения</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84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(подпункта «в» пункта 3)</w:t>
            </w:r>
          </w:p>
        </w:tc>
        <w:tc>
          <w:tcPr>
            <w:tcW w:w="1699"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38)</w:t>
            </w:r>
          </w:p>
        </w:tc>
        <w:tc>
          <w:tcPr>
            <w:tcW w:w="221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МВД России</w:t>
              <w:br/>
              <w:t>Минэкономразвития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03.12.2019</w:t>
            </w:r>
          </w:p>
        </w:tc>
      </w:tr>
      <w:tr>
        <w:trPr>
          <w:trHeight w:val="280" w:hRule="atLeast"/>
        </w:trPr>
        <w:tc>
          <w:tcPr>
            <w:tcW w:w="15588" w:type="dxa"/>
            <w:gridSpan w:val="9"/>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b/>
                <w:b/>
                <w:color w:val="000000"/>
                <w:spacing w:val="0"/>
                <w:kern w:val="0"/>
                <w:sz w:val="20"/>
                <w:szCs w:val="20"/>
              </w:rPr>
            </w:pPr>
            <w:r>
              <w:rPr>
                <w:b/>
                <w:color w:val="000000"/>
                <w:spacing w:val="0"/>
                <w:kern w:val="0"/>
                <w:sz w:val="20"/>
                <w:szCs w:val="20"/>
              </w:rPr>
              <w:t>2020 год</w:t>
            </w:r>
          </w:p>
        </w:tc>
      </w:tr>
      <w:tr>
        <w:trPr>
          <w:trHeight w:val="729"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w:t>
            </w:r>
          </w:p>
        </w:tc>
        <w:tc>
          <w:tcPr>
            <w:tcW w:w="49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both"/>
              <w:rPr/>
            </w:pPr>
            <w:r>
              <w:rPr>
                <w:spacing w:val="0"/>
                <w:kern w:val="0"/>
                <w:sz w:val="20"/>
                <w:szCs w:val="20"/>
              </w:rPr>
              <w:t>П</w:t>
            </w:r>
            <w:r>
              <w:rPr>
                <w:color w:val="000000"/>
                <w:spacing w:val="0"/>
                <w:kern w:val="0"/>
                <w:sz w:val="20"/>
                <w:szCs w:val="20"/>
              </w:rPr>
              <w:t>редставить предложения по созданию на базе федерального государственного автономного образовательного учреждения высшего образования «Российский университет транспорта» многофункционального технологического кластера «ОБРАЗЦОВО»</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К.А. Пашков</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Пр-518</w:t>
              <w:br/>
              <w:t>от 28.03.2018</w:t>
              <w:br/>
              <w:t>(подпункт «д»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spacing w:val="0"/>
                <w:kern w:val="0"/>
                <w:sz w:val="20"/>
                <w:szCs w:val="20"/>
              </w:rPr>
            </w:pPr>
            <w:r>
              <w:rPr>
                <w:spacing w:val="0"/>
                <w:kern w:val="0"/>
                <w:sz w:val="20"/>
                <w:szCs w:val="20"/>
              </w:rPr>
              <w:t>П9-21869</w:t>
              <w:br/>
              <w:t>от 21.04.2020</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Минобрнауки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Минэкономразвития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Минфин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15.12.2020</w:t>
            </w:r>
          </w:p>
        </w:tc>
      </w:tr>
      <w:tr>
        <w:trPr>
          <w:trHeight w:val="192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Подготовка комплекса мер, направленных на усиление административной ответственности за нарушение правил дорожного движения при оказании услуг по перевозкам пассажиров автомобильным транспортом, в том числе по организованным перевозкам групп детей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А.С. Бакирей</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1 подпункта «б»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2)</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МВД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15.01.2020</w:t>
            </w:r>
          </w:p>
        </w:tc>
      </w:tr>
      <w:tr>
        <w:trPr>
          <w:trHeight w:val="2361"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3</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Обеспечение возможности осуществления при строительстве, реконструкции линейного объекта транспортной инфраструктуры необходимой для этих целей реконструкции других линейных объектов, в том числе переноса или переустройства инженерных коммуникаций, на основании единого проекта планировки территории линейного объекта транспортной инфраструктуры</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1 подпункта «г»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10)</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17.03.2020</w:t>
            </w:r>
          </w:p>
        </w:tc>
      </w:tr>
      <w:tr>
        <w:trPr>
          <w:trHeight w:val="150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4</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возможности подготовки проектной документации линейного объекта одновременно с разработкой документации по планировке территории, необходимой для его размещения, при условии соблюдения требований законодательства в области охраны окружающей среды, законодательства об особо охраняемых природных территориях и законодательства об охране объектов культурного наследия</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2 подпункта «г»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11)</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Минприроды России</w:t>
              <w:br/>
              <w:t>Минкультуры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17.03.2020</w:t>
            </w:r>
          </w:p>
        </w:tc>
      </w:tr>
      <w:tr>
        <w:trPr>
          <w:trHeight w:val="150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5</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возможности подготовки проектной документации объектов капитального строительства, не являющихся линейными объектами и входящих в состав линейных объектов, и строительства таких объектов капитального строительства на основании утвержденной документации по планировке территории линейных объектов без получения  градостроительного плана земельного участка при условии соблюдения требований законодательства в области охраны окружающей среды, законодательства об особо охраняемых природных территориях и законодательства об охране объектов культурного наследия</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Г.А. Волков</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3 подпункта «г»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11)</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br/>
              <w:t>Минприроды России</w:t>
              <w:br/>
              <w:t>Минкультуры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17.03.2020</w:t>
            </w:r>
          </w:p>
        </w:tc>
      </w:tr>
      <w:tr>
        <w:trPr>
          <w:trHeight w:val="1500"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6</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внесения в Федеральный закон от 29.12.2017 № 443-ФЗ «Об организации дорожного движения в Российской Федерации и о внесении изменений в отдельные законодательные акты Российской Федерации» изменений, предусматривающих исключение из него требования о разработке проектов организации дорожного движения в составе проектной документации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А.С. Бакирей</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4 подпункта «г»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12)</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17.03.2020</w:t>
            </w:r>
          </w:p>
        </w:tc>
      </w:tr>
      <w:tr>
        <w:trPr>
          <w:trHeight w:val="332"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7</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rPr>
            </w:pPr>
            <w:r>
              <w:rPr>
                <w:color w:val="000000"/>
                <w:spacing w:val="0"/>
                <w:kern w:val="0"/>
                <w:sz w:val="20"/>
                <w:szCs w:val="20"/>
              </w:rPr>
              <w:t>Обеспечение установления дифференцированного состава и содержания проекта планировки территории линейного объекта, предусмотрев сокращение состава утверждаемой части такого проекта планировки территории до границ зон планируемого размещения линейного объекта и его основных параметров, а также установление перечня случаев, при которых подготовка     материалов    по    обоснованию проекта планировки территории линейного объекта не требуется</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А.В. Ересько</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5 подпункта «г»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12)</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17.03.2020</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21.12.2021</w:t>
            </w:r>
          </w:p>
        </w:tc>
      </w:tr>
      <w:tr>
        <w:trPr>
          <w:trHeight w:val="3475"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8</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внесения в законодательство Российской Федерации изменений, направленных на установление детального механизма осуществления реконструкции, переноса или переустройства линейных объектов при их пересечении строящимся или реконструируемым линейным объектом, включая порядок выдачи технических условий на перенос или переустройство линейных объектов, мораторий на изменение выданных технических условий и порядок переноса или переустройства инженерных коммуникаций, предусматривающий заключение договоров компенсации собственникам инженерных коммуникаций в натуральной (имущественной) форме</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А.В. Ересько</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8 подпункта «г»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15)</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br/>
              <w:t>Минэнерго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17.03.2020</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12.07.2021</w:t>
            </w:r>
          </w:p>
        </w:tc>
      </w:tr>
      <w:tr>
        <w:trPr>
          <w:trHeight w:val="557"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9</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Обеспечение установления упрощенного порядка внесения изменений в проект планировки территории (в пределах  10 процентов площади территории,</w:t>
              <w:br/>
              <w:t>в отношении которой утвержден проект планировки) при необходимости  уточнения границ зон планируемого размещения линейного объекта транспортной инфраструктуры на этапах его   проектирования   и    строительства   при условии, что такое уточнение не повлияет на предусмотренные этим проектом планировочные решения и будут соблюдены требования законодательства в области охраны окружающей среды, законодательства об особо охраняемых природных территориях и законодательства об охране объектов культурного наследия</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Г.А. Волков</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(часть 10 подпункта «г»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17)</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Минстрой России</w:t>
              <w:br/>
              <w:t>Минэнерго России</w:t>
              <w:br/>
              <w:t>Минприроды России</w:t>
              <w:br/>
              <w:t>Минкультуры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17.03.2020</w:t>
            </w:r>
          </w:p>
        </w:tc>
      </w:tr>
      <w:tr>
        <w:trPr>
          <w:trHeight w:val="1694"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10</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pacing w:val="0"/>
                <w:kern w:val="0"/>
                <w:sz w:val="20"/>
                <w:szCs w:val="20"/>
              </w:rPr>
              <w:t>Обеспечение создания единой федеральной системы мониторинга и контроля перевозок пассажиров автобусами в междугородном сообщении в целях снижения доли нелегальных перевозчиков на рынке перевозок пассажиров автомобильным транспортом</w:t>
              <w:br/>
            </w: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Д.В. Баканов</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Пр-1381ГС</w:t>
              <w:br/>
              <w:t>от 17.07.2019</w:t>
              <w:br/>
              <w:t>(подпункт «з»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23)</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br/>
              <w:t>Минкомсвязь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11.11.2020</w:t>
            </w:r>
          </w:p>
        </w:tc>
      </w:tr>
      <w:tr>
        <w:trPr>
          <w:trHeight w:val="77"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11</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Разработка плана мероприятий по оснащению четырехполосных автомобильных дорог системами разделения встречных направлений движения и при необходимости обеспечение внесения изменений в нормативные правовые акты Российской Федерации</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Г.А. Волков</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pacing w:val="0"/>
                <w:kern w:val="0"/>
                <w:sz w:val="20"/>
                <w:szCs w:val="20"/>
              </w:rPr>
              <w:t>Пр-1381ГС</w:t>
              <w:br/>
              <w:t>от 17.07.2019</w:t>
              <w:br/>
              <w:t>(подпункт «м»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 xml:space="preserve">МА-П9-6751 </w:t>
              <w:br/>
              <w:t>от 07.08.2019</w:t>
              <w:br/>
              <w:t>(пункт 28)</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16.06.2020</w:t>
            </w:r>
          </w:p>
        </w:tc>
      </w:tr>
      <w:tr>
        <w:trPr>
          <w:trHeight w:val="57" w:hRule="atLeast"/>
        </w:trPr>
        <w:tc>
          <w:tcPr>
            <w:tcW w:w="15588" w:type="dxa"/>
            <w:gridSpan w:val="9"/>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b/>
                <w:b/>
                <w:color w:val="000000"/>
                <w:spacing w:val="0"/>
                <w:kern w:val="0"/>
                <w:sz w:val="23"/>
                <w:szCs w:val="20"/>
              </w:rPr>
            </w:pPr>
            <w:r>
              <w:rPr>
                <w:b/>
                <w:color w:val="000000"/>
                <w:spacing w:val="0"/>
                <w:kern w:val="0"/>
                <w:sz w:val="23"/>
                <w:szCs w:val="20"/>
              </w:rPr>
              <w:t>2021 год</w:t>
            </w:r>
          </w:p>
        </w:tc>
      </w:tr>
      <w:tr>
        <w:trPr>
          <w:trHeight w:val="75" w:hRule="atLeast"/>
        </w:trPr>
        <w:tc>
          <w:tcPr>
            <w:tcW w:w="56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w:t>
            </w:r>
          </w:p>
        </w:tc>
        <w:tc>
          <w:tcPr>
            <w:tcW w:w="4967" w:type="dxa"/>
            <w:tcBorders>
              <w:top w:val="single" w:sz="4" w:space="0" w:color="000000"/>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О направлении дополнительных средств в размере</w:t>
              <w:br/>
              <w:t>50 млрд. рублей на реализацию мероприятий по развитию и модернизации общественного транспорта</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А.С. Бакирей</w:t>
            </w:r>
          </w:p>
        </w:tc>
        <w:tc>
          <w:tcPr>
            <w:tcW w:w="1983"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Пр-1249</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15.07.2021</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(часть 1 подпункта «б» пункта 1)</w:t>
            </w:r>
          </w:p>
        </w:tc>
        <w:tc>
          <w:tcPr>
            <w:tcW w:w="1702" w:type="dxa"/>
            <w:gridSpan w:val="2"/>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rPr>
            </w:pPr>
            <w:r>
              <w:rPr>
                <w:color w:val="000000"/>
                <w:sz w:val="20"/>
              </w:rPr>
              <w:t>ММ-П12-9974</w:t>
            </w:r>
          </w:p>
          <w:p>
            <w:pPr>
              <w:pStyle w:val="Normal"/>
              <w:widowControl w:val="false"/>
              <w:suppressAutoHyphens w:val="true"/>
              <w:spacing w:lineRule="auto" w:line="240" w:before="0" w:after="0"/>
              <w:ind w:left="0" w:right="0" w:hanging="0"/>
              <w:jc w:val="center"/>
              <w:rPr>
                <w:color w:val="000000"/>
                <w:sz w:val="20"/>
              </w:rPr>
            </w:pPr>
            <w:r>
              <w:rPr>
                <w:color w:val="000000"/>
                <w:sz w:val="20"/>
              </w:rPr>
              <w:t>от 24.07.2021</w:t>
            </w:r>
          </w:p>
        </w:tc>
        <w:tc>
          <w:tcPr>
            <w:tcW w:w="20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проектом доклада Президенту Российской Федерации</w:t>
            </w:r>
          </w:p>
        </w:tc>
        <w:tc>
          <w:tcPr>
            <w:tcW w:w="2332"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Минтранс России</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Минфин России</w:t>
            </w:r>
          </w:p>
        </w:tc>
        <w:tc>
          <w:tcPr>
            <w:tcW w:w="197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27.07.2021</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pacing w:val="0"/>
                <w:kern w:val="0"/>
                <w:sz w:val="20"/>
                <w:szCs w:val="20"/>
              </w:rPr>
            </w:pPr>
            <w:r>
              <w:rPr>
                <w:color w:val="000000"/>
                <w:spacing w:val="0"/>
                <w:kern w:val="0"/>
                <w:sz w:val="20"/>
                <w:szCs w:val="20"/>
              </w:rPr>
              <w:t>Реконструкция магистральной рулежной дорожки в аэропорту г. Красноярск</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С.А. Петрова</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Пр-337 от 02.03.2019</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rPr>
            </w:pPr>
            <w:r>
              <w:rPr>
                <w:color w:val="000000"/>
                <w:sz w:val="20"/>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 xml:space="preserve">Доклад </w:t>
              <w:br/>
              <w:t>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3"/>
                <w:szCs w:val="20"/>
              </w:rPr>
            </w:pPr>
            <w:r>
              <w:rPr>
                <w:color w:val="000000"/>
                <w:spacing w:val="0"/>
                <w:kern w:val="0"/>
                <w:sz w:val="23"/>
                <w:szCs w:val="20"/>
              </w:rPr>
              <w:t>Минтранс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22.01.2021</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3</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Разработка совместно с государственной корпорацией развития «ВЭБ.РФ» комплексной программы модернизации пассажирского транспорта в городских агломерациях, предусматривающую в том числе обновление подвижного состава и оптимизацию маршрутных сетей</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А.С. Бакирей</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jc w:val="center"/>
              <w:rPr>
                <w:sz w:val="20"/>
                <w:szCs w:val="20"/>
              </w:rPr>
            </w:pPr>
            <w:r>
              <w:rPr>
                <w:sz w:val="20"/>
                <w:szCs w:val="20"/>
              </w:rPr>
              <w:t>Пр-742</w:t>
            </w:r>
          </w:p>
          <w:p>
            <w:pPr>
              <w:pStyle w:val="Normal"/>
              <w:widowControl w:val="false"/>
              <w:jc w:val="center"/>
              <w:rPr>
                <w:sz w:val="20"/>
                <w:szCs w:val="20"/>
              </w:rPr>
            </w:pPr>
            <w:r>
              <w:rPr>
                <w:sz w:val="20"/>
                <w:szCs w:val="20"/>
              </w:rPr>
              <w:t>от 24.04.2020</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(пункт 2)</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jc w:val="center"/>
              <w:rPr>
                <w:sz w:val="20"/>
                <w:szCs w:val="20"/>
              </w:rPr>
            </w:pPr>
            <w:r>
              <w:rPr>
                <w:sz w:val="20"/>
                <w:szCs w:val="20"/>
              </w:rPr>
              <w:t>ЮБ-П9-4715</w:t>
            </w:r>
          </w:p>
          <w:p>
            <w:pPr>
              <w:pStyle w:val="Normal"/>
              <w:widowControl w:val="false"/>
              <w:jc w:val="center"/>
              <w:rPr>
                <w:sz w:val="20"/>
                <w:szCs w:val="20"/>
              </w:rPr>
            </w:pPr>
            <w:r>
              <w:rPr>
                <w:sz w:val="20"/>
                <w:szCs w:val="20"/>
              </w:rPr>
              <w:t>от 12.05.2020</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(пункт 7)</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Минфин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Минэкономразвития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Минпромторг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Минстрой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Минприроды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Минкомсвязи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29.12.2021</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 xml:space="preserve">далее - раз </w:t>
              <w:br/>
              <w:t>в полгода</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4</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Включение в проект Транспортной стратегии Российской Федерации на период</w:t>
            </w:r>
          </w:p>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 2035 года показателя, характеризующего индекс количества автомототранcпортных средств с двигателями, работающими на газомоторном топливе, в общей численности парка транспортных средств</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В.В. Грушников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1447-р</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01.06.2021 (пункт 17)</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Проект Транспортной стратегии Российской Федерации на период</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 2035 года, содержащий  показатель, характеризующий индекс количества автомототранcпортных средств с двигателями, работающими на газомоторном топливе, в общей численности парка транспортных средств</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Минэнерго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30.12.2021</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5</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Стимулирование поставок угля через порты юга и северо-запада Российской Федерации</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А.А. Федорчук</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1447-р</w:t>
            </w:r>
          </w:p>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от 01.06.2021 (пункт 22)</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18"/>
              </w:rPr>
            </w:pPr>
            <w:r>
              <w:rPr>
                <w:color w:val="000000"/>
                <w:sz w:val="20"/>
                <w:szCs w:val="18"/>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Акты Правительства Российской Федерации, регулирующие тарифы на перевозку угля</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Минтранс России,</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Минэнерго России</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с участием открытого акционерного общества «Российские железные дороги»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IV квартал 2021 года,</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далее − ежегодно</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6</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Обеспечение условий для разработки отечественных энергоэффективных, низкоуглеродных и безуглеродных технологий производства, транспортировки и хранения водорода, а также апробации применения водородного и метано-водородного топлива (с различным содержанием водорода в смеси) в газовых энергетических установках (газотурбинных двигателях, газовых бойлерах и др.) и в качестве моторного топлива на разных видах транспорта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А.В. Ересько</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1447-р</w:t>
            </w:r>
          </w:p>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 xml:space="preserve">от 01.06.2021 </w:t>
            </w:r>
          </w:p>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(пункт 44)</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18"/>
              </w:rPr>
            </w:pPr>
            <w:r>
              <w:rPr>
                <w:color w:val="000000"/>
                <w:sz w:val="20"/>
                <w:szCs w:val="18"/>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Доклад в Правительство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Минпромторг России,</w:t>
            </w:r>
          </w:p>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Минобрнауки России,</w:t>
            </w:r>
          </w:p>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Минэкономразвития России,</w:t>
            </w:r>
          </w:p>
          <w:p>
            <w:pPr>
              <w:pStyle w:val="Normal"/>
              <w:widowControl w:val="false"/>
              <w:suppressAutoHyphens w:val="true"/>
              <w:spacing w:lineRule="auto" w:line="240" w:before="0" w:after="0"/>
              <w:ind w:left="0" w:right="0" w:hanging="0"/>
              <w:jc w:val="center"/>
              <w:rPr>
                <w:color w:val="000000"/>
                <w:sz w:val="18"/>
                <w:szCs w:val="18"/>
              </w:rPr>
            </w:pPr>
            <w:r>
              <w:rPr>
                <w:color w:val="000000"/>
                <w:sz w:val="18"/>
                <w:szCs w:val="18"/>
              </w:rPr>
              <w:t>Минэнерго России, Минтранс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IV квартал 2021 года,</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18"/>
                <w:szCs w:val="18"/>
                <w:lang w:val="ru-RU" w:eastAsia="zh-CN" w:bidi="hi-IN"/>
              </w:rPr>
            </w:pPr>
            <w:r>
              <w:rPr>
                <w:rFonts w:eastAsia="Tahoma" w:cs="Droid Sans Devanagari"/>
                <w:color w:val="000000"/>
                <w:spacing w:val="0"/>
                <w:kern w:val="0"/>
                <w:sz w:val="18"/>
                <w:szCs w:val="18"/>
                <w:lang w:val="ru-RU" w:eastAsia="zh-CN" w:bidi="hi-IN"/>
              </w:rPr>
              <w:t>далее − ежегодно</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7</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color w:val="000000"/>
                <w:sz w:val="20"/>
                <w:szCs w:val="20"/>
              </w:rPr>
              <w:t>П</w:t>
            </w:r>
            <w:r>
              <w:rPr>
                <w:rFonts w:eastAsia="Tahoma" w:cs="Droid Sans Devanagari"/>
                <w:color w:val="000000"/>
                <w:spacing w:val="0"/>
                <w:kern w:val="0"/>
                <w:sz w:val="20"/>
                <w:szCs w:val="20"/>
                <w:lang w:val="ru-RU" w:eastAsia="zh-CN" w:bidi="hi-IN"/>
              </w:rPr>
              <w:t>ринятие исчерпывающих мер по реализации национальных целей и стратегических задач развития Российской Федерации, предусмотренных указами Президента Российской Федерации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В.В. Грушников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Пр-1383 от 05.08.2021 (подпункт «а» пункта 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bidi w:val="0"/>
              <w:spacing w:lineRule="auto" w:line="240" w:before="0" w:after="0"/>
              <w:ind w:left="0" w:right="-113" w:hanging="0"/>
              <w:jc w:val="center"/>
              <w:rPr>
                <w:color w:val="000000"/>
                <w:sz w:val="20"/>
                <w:szCs w:val="20"/>
              </w:rPr>
            </w:pPr>
            <w:r>
              <w:rPr>
                <w:color w:val="000000"/>
                <w:sz w:val="20"/>
                <w:szCs w:val="20"/>
              </w:rPr>
              <w:t>МХ-П49-12097 от 31.08.2021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МВД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Минобороны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Минэкономразвития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Минфин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Росавтодор,</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Росморречфлот,</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Росавиация,</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Государственная компания «Автодор»,</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Госкорпорация «Росатом»,</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ОАО «РЖД»</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15.11.2021,</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15.06.2022,</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далее − один раз в полгода</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8</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shd w:fill="auto" w:val="clear"/>
              </w:rPr>
            </w:pPr>
            <w:r>
              <w:rPr>
                <w:color w:val="000000"/>
                <w:sz w:val="20"/>
                <w:szCs w:val="20"/>
                <w:shd w:fill="auto" w:val="clear"/>
              </w:rPr>
              <w:t>Обеспечение с участием комиссий Госсовета Российской Федерации по направлению «Транспорт» и по направлению «Энергетика», а также крупнейших грузоотправителей координации выполнения мероприятий по развитию БАМа и Трансиба, включая контроль и мониторинг строительства объектов железнодорожной инфраструктуры и энергоснабжения, а также выполнения обязательств сторонами, участвующими в указанной работе</w:t>
            </w:r>
          </w:p>
          <w:p>
            <w:pPr>
              <w:pStyle w:val="Normal"/>
              <w:widowControl w:val="false"/>
              <w:suppressAutoHyphens w:val="true"/>
              <w:spacing w:lineRule="auto" w:line="240" w:before="0" w:after="0"/>
              <w:ind w:left="0" w:right="0" w:hanging="0"/>
              <w:jc w:val="both"/>
              <w:rPr>
                <w:b/>
                <w:b/>
                <w:color w:val="000000"/>
                <w:spacing w:val="0"/>
                <w:kern w:val="0"/>
                <w:sz w:val="20"/>
                <w:szCs w:val="20"/>
                <w:shd w:fill="auto" w:val="clear"/>
              </w:rPr>
            </w:pPr>
            <w:r>
              <w:rPr>
                <w:b/>
                <w:color w:val="000000"/>
                <w:spacing w:val="0"/>
                <w:kern w:val="0"/>
                <w:sz w:val="20"/>
                <w:szCs w:val="20"/>
                <w:shd w:fill="auto" w:val="clear"/>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shd w:fill="auto" w:val="clear"/>
                <w:lang w:val="ru-RU" w:eastAsia="zh-CN" w:bidi="hi-IN"/>
              </w:rPr>
            </w:pPr>
            <w:r>
              <w:rPr>
                <w:rFonts w:eastAsia="Tahoma" w:cs="Droid Sans Devanagari"/>
                <w:b/>
                <w:color w:val="000000"/>
                <w:spacing w:val="0"/>
                <w:kern w:val="0"/>
                <w:sz w:val="20"/>
                <w:szCs w:val="20"/>
                <w:shd w:fill="auto" w:val="clear"/>
                <w:lang w:val="ru-RU" w:eastAsia="zh-CN" w:bidi="hi-IN"/>
              </w:rPr>
              <w:t>А.В. Ересько</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Пр-487</w:t>
              <w:br/>
              <w:t>от 27.03.2021</w:t>
            </w:r>
          </w:p>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(пункт 1«в»)</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АБ-П50-4208</w:t>
            </w:r>
          </w:p>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31.03.2021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Минтранс России, Минстрой России,</w:t>
            </w:r>
          </w:p>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Минэнерго России,</w:t>
            </w:r>
          </w:p>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ОАО «РЖД»</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01.07.2021,</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далее − один раз в полгода</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9</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shd w:fill="auto" w:val="clear"/>
              </w:rPr>
            </w:pPr>
            <w:r>
              <w:rPr>
                <w:color w:val="000000"/>
                <w:sz w:val="20"/>
                <w:szCs w:val="20"/>
                <w:shd w:fill="auto" w:val="clear"/>
              </w:rPr>
              <w:t>Разработка и внесение в Государственную Думу Федерального Собрания Российской Федерации проекта федерального закона, предусматривающего, что цены (тарифы, ставки) на услуги в морском порту по погрузке, выгрузке и хранению сжиженного природного газа, произведенного в Арктической зоне Российской Федерации, могут быть выражены в иностранной валюте (в условных единицах) с расчетами в рублях</w:t>
            </w:r>
          </w:p>
          <w:p>
            <w:pPr>
              <w:pStyle w:val="Normal"/>
              <w:widowControl w:val="false"/>
              <w:suppressAutoHyphens w:val="true"/>
              <w:spacing w:lineRule="auto" w:line="240" w:before="0" w:after="0"/>
              <w:ind w:left="0" w:right="0" w:hanging="0"/>
              <w:jc w:val="both"/>
              <w:rPr>
                <w:b/>
                <w:b/>
                <w:color w:val="000000"/>
                <w:spacing w:val="0"/>
                <w:kern w:val="0"/>
                <w:sz w:val="20"/>
                <w:szCs w:val="20"/>
                <w:shd w:fill="auto" w:val="clear"/>
              </w:rPr>
            </w:pPr>
            <w:r>
              <w:rPr>
                <w:b/>
                <w:color w:val="000000"/>
                <w:spacing w:val="0"/>
                <w:kern w:val="0"/>
                <w:sz w:val="20"/>
                <w:szCs w:val="20"/>
                <w:shd w:fill="auto" w:val="clear"/>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shd w:fill="auto" w:val="clear"/>
              </w:rPr>
            </w:pPr>
            <w:r>
              <w:rPr>
                <w:b/>
                <w:color w:val="000000"/>
                <w:spacing w:val="0"/>
                <w:kern w:val="0"/>
                <w:sz w:val="20"/>
                <w:szCs w:val="20"/>
                <w:shd w:fill="auto" w:val="clear"/>
              </w:rPr>
              <w:t>В.В. Клюев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 xml:space="preserve">№ </w:t>
            </w:r>
            <w:r>
              <w:rPr>
                <w:color w:val="000000"/>
                <w:sz w:val="20"/>
                <w:szCs w:val="20"/>
                <w:shd w:fill="auto" w:val="clear"/>
              </w:rPr>
              <w:t>Пр-593</w:t>
              <w:br/>
              <w:t>от 14.04.2021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АН-П50-5412</w:t>
            </w:r>
          </w:p>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29.04.2021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ФАС России,</w:t>
            </w:r>
          </w:p>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Минтранс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06.05.2021,</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01.12.2021</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10</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Выделение в 2021 - 2023 годах средств федерального бюджета на софинансирование реконструкции участка автомобильной дороги Валдай - Демянск в Новгородской области</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А.В. Шилов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Пр-282</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23.02.2021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МХ-П49-2411</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02.03.2021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Минфин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11.03.2021</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15.11.2021</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11</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Определение дополнительных мер государственной поддержки (в том числе механизмы, объемы и источники финансирования) развития маршрутной сети межрегиональных и местных перевозок, осуществляемых авиационной компанией, основной деятельностью которой является осуществление перевозок пассажиров и грузов в Дальневосточном федеральном округе, предусмотрев приоритетное использование авиационной техники отечественного производства</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С.А. Петрова</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 xml:space="preserve">Пр-520 </w:t>
              <w:br/>
              <w:t>от 04.04.2021, (подпункт «и» пункта 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ЮТ-П47-4583</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12.04.2021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Минвостокразвития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Минпромторг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Минфин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29.11.2021</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12</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rFonts w:eastAsia="Tahoma" w:cs="Droid Sans Devanagari"/>
                <w:color w:val="000000"/>
                <w:spacing w:val="0"/>
                <w:kern w:val="0"/>
                <w:sz w:val="20"/>
                <w:szCs w:val="20"/>
                <w:lang w:val="ru-RU" w:eastAsia="zh-CN" w:bidi="hi-IN"/>
              </w:rPr>
              <w:t xml:space="preserve">Обеспечение </w:t>
            </w:r>
            <w:r>
              <w:rPr>
                <w:color w:val="000000"/>
                <w:sz w:val="20"/>
                <w:szCs w:val="20"/>
              </w:rPr>
              <w:t>начала работ по строительству автомобильной дороги в обход г. Кемерово в 2021 году</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А.В. Шилов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Пр-1458</w:t>
              <w:br/>
              <w:t>от 14.08.2021</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(подпункт «в» пункта 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ВА-П16-11557</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25.08.2021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Росавтодор,</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Правительство Кузбасса</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20.12.2021</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13</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Разработка, утверждение и начало реализации единой комплексной программы, направленной на модернизацию пассажирского транспорта общего пользования в субъектах Российской Федерации</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color w:val="000000"/>
                <w:spacing w:val="0"/>
                <w:kern w:val="0"/>
                <w:sz w:val="20"/>
                <w:szCs w:val="20"/>
                <w:lang w:val="ru-RU" w:eastAsia="zh-CN" w:bidi="hi-IN"/>
              </w:rPr>
            </w:pPr>
            <w:r>
              <w:rPr>
                <w:rFonts w:eastAsia="Tahoma" w:cs="Droid Sans Devanagari"/>
                <w:b/>
                <w:color w:val="000000"/>
                <w:spacing w:val="0"/>
                <w:kern w:val="0"/>
                <w:sz w:val="20"/>
                <w:szCs w:val="20"/>
                <w:lang w:val="ru-RU" w:eastAsia="zh-CN" w:bidi="hi-IN"/>
              </w:rPr>
              <w:t>А.С. Бакирей</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jc w:val="center"/>
              <w:rPr>
                <w:sz w:val="20"/>
                <w:szCs w:val="20"/>
              </w:rPr>
            </w:pPr>
            <w:r>
              <w:rPr>
                <w:sz w:val="20"/>
                <w:szCs w:val="20"/>
              </w:rPr>
              <w:t>Пр-1383</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05.08.2021</w:t>
            </w:r>
          </w:p>
          <w:p>
            <w:pPr>
              <w:pStyle w:val="Normal"/>
              <w:widowControl w:val="false"/>
              <w:suppressAutoHyphens w:val="true"/>
              <w:spacing w:lineRule="auto" w:line="240" w:before="0" w:after="0"/>
              <w:ind w:left="0" w:right="0" w:hanging="0"/>
              <w:jc w:val="center"/>
              <w:rPr/>
            </w:pPr>
            <w:r>
              <w:rPr>
                <w:color w:val="000000"/>
                <w:sz w:val="20"/>
                <w:szCs w:val="20"/>
              </w:rPr>
              <w:t xml:space="preserve">(подпункт </w:t>
            </w:r>
            <w:r>
              <w:rPr>
                <w:rFonts w:eastAsia="Tahoma" w:cs="Droid Sans Devanagari"/>
                <w:color w:val="000000"/>
                <w:spacing w:val="0"/>
                <w:kern w:val="0"/>
                <w:sz w:val="20"/>
                <w:szCs w:val="20"/>
                <w:lang w:val="ru-RU" w:eastAsia="zh-CN" w:bidi="hi-IN"/>
              </w:rPr>
              <w:t>«г» пункта 2)</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jc w:val="center"/>
              <w:rPr>
                <w:sz w:val="20"/>
                <w:szCs w:val="20"/>
              </w:rPr>
            </w:pPr>
            <w:r>
              <w:rPr>
                <w:sz w:val="20"/>
                <w:szCs w:val="20"/>
              </w:rPr>
              <w:t>ММ-П6-11384</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20.08.2021 (пункт 10)</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проектом доклада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jc w:val="center"/>
              <w:rPr>
                <w:sz w:val="20"/>
                <w:szCs w:val="20"/>
              </w:rPr>
            </w:pPr>
            <w:r>
              <w:rPr>
                <w:sz w:val="20"/>
                <w:szCs w:val="20"/>
              </w:rPr>
              <w:t>Минфин России</w:t>
            </w:r>
          </w:p>
          <w:p>
            <w:pPr>
              <w:pStyle w:val="Normal"/>
              <w:widowControl w:val="false"/>
              <w:jc w:val="center"/>
              <w:rPr>
                <w:sz w:val="20"/>
                <w:szCs w:val="20"/>
              </w:rPr>
            </w:pPr>
            <w:r>
              <w:rPr>
                <w:sz w:val="20"/>
                <w:szCs w:val="20"/>
              </w:rPr>
              <w:t>Минэкономразвития России</w:t>
            </w:r>
          </w:p>
          <w:p>
            <w:pPr>
              <w:pStyle w:val="Normal"/>
              <w:widowControl w:val="false"/>
              <w:jc w:val="center"/>
              <w:rPr>
                <w:sz w:val="20"/>
                <w:szCs w:val="20"/>
              </w:rPr>
            </w:pPr>
            <w:r>
              <w:rPr>
                <w:sz w:val="20"/>
                <w:szCs w:val="20"/>
              </w:rPr>
              <w:t>Минпромторг России</w:t>
            </w:r>
          </w:p>
          <w:p>
            <w:pPr>
              <w:pStyle w:val="Normal"/>
              <w:widowControl w:val="false"/>
              <w:jc w:val="center"/>
              <w:rPr>
                <w:sz w:val="20"/>
                <w:szCs w:val="20"/>
              </w:rPr>
            </w:pPr>
            <w:r>
              <w:rPr>
                <w:sz w:val="20"/>
                <w:szCs w:val="20"/>
              </w:rPr>
              <w:t>Минприроды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Минвостокразвития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01.12.2021</w:t>
            </w:r>
          </w:p>
        </w:tc>
      </w:tr>
      <w:tr>
        <w:trPr>
          <w:trHeight w:val="75" w:hRule="atLeast"/>
        </w:trPr>
        <w:tc>
          <w:tcPr>
            <w:tcW w:w="15588" w:type="dxa"/>
            <w:gridSpan w:val="9"/>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3"/>
                <w:shd w:fill="auto" w:val="clear"/>
              </w:rPr>
            </w:pPr>
            <w:r>
              <w:rPr>
                <w:color w:val="000000"/>
                <w:sz w:val="23"/>
                <w:shd w:fill="auto" w:val="clear"/>
              </w:rPr>
              <w:t>2022 год</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rFonts w:eastAsia="Tahoma" w:cs="Droid Sans Devanagari"/>
                <w:color w:val="000000"/>
                <w:spacing w:val="0"/>
                <w:kern w:val="0"/>
                <w:sz w:val="20"/>
                <w:szCs w:val="20"/>
                <w:lang w:val="ru-RU" w:eastAsia="zh-CN" w:bidi="hi-IN"/>
              </w:rPr>
              <w:t>Принятие</w:t>
            </w:r>
            <w:r>
              <w:rPr>
                <w:color w:val="000000"/>
                <w:sz w:val="20"/>
                <w:szCs w:val="20"/>
              </w:rPr>
              <w:t xml:space="preserve"> мер по финансированию и завершению работ в 2023 году по реконструкции моста через Никольское устье Северной Двины в г. Северодвинске Архангельской области</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А.В. Шилов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Пр-20</w:t>
              <w:br/>
              <w:t>от 03.01.2021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МХ-П49-426</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19.01.2021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Минэкономразвития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Минфин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01.01.2022</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далее − ежегодно</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Выделение 0,9 млрд. рублей бюджету Хабаровского края на приведение в нормативное состояние участков региональных дорог</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rPr>
            </w:pPr>
            <w:r>
              <w:rPr>
                <w:b/>
                <w:bCs/>
                <w:color w:val="000000"/>
                <w:sz w:val="20"/>
                <w:szCs w:val="20"/>
              </w:rPr>
              <w:t>А.В. Шилов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Пр-1033</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10.06.2021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17.01.2022</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3</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rFonts w:eastAsia="Tahoma" w:cs="Droid Sans Devanagari"/>
                <w:b w:val="false"/>
                <w:b w:val="false"/>
                <w:bCs w:val="false"/>
                <w:color w:val="000000"/>
                <w:spacing w:val="0"/>
                <w:kern w:val="0"/>
                <w:sz w:val="20"/>
                <w:szCs w:val="20"/>
                <w:lang w:val="ru-RU" w:eastAsia="zh-CN" w:bidi="hi-IN"/>
              </w:rPr>
            </w:pPr>
            <w:r>
              <w:rPr>
                <w:rFonts w:eastAsia="Tahoma" w:cs="Droid Sans Devanagari"/>
                <w:b w:val="false"/>
                <w:bCs w:val="false"/>
                <w:color w:val="000000"/>
                <w:spacing w:val="0"/>
                <w:kern w:val="0"/>
                <w:sz w:val="20"/>
                <w:szCs w:val="20"/>
                <w:lang w:val="ru-RU" w:eastAsia="zh-CN" w:bidi="hi-IN"/>
              </w:rPr>
              <w:t>Реализация плана мероприятий («дорожной карты») по развитию рынка малотоннажного сжиженного природного газа и газомоторного топлива в Российской Федерации на период до 2025 года)</w:t>
            </w:r>
          </w:p>
          <w:p>
            <w:pPr>
              <w:pStyle w:val="Normal"/>
              <w:widowControl w:val="false"/>
              <w:suppressAutoHyphens w:val="true"/>
              <w:spacing w:lineRule="auto" w:line="240" w:before="0" w:after="0"/>
              <w:ind w:left="0" w:right="0" w:hanging="0"/>
              <w:jc w:val="both"/>
              <w:rPr>
                <w:rFonts w:eastAsia="Tahoma" w:cs="Droid Sans Devanagari"/>
                <w:b/>
                <w:b/>
                <w:bCs/>
                <w:color w:val="000000"/>
                <w:spacing w:val="0"/>
                <w:kern w:val="0"/>
                <w:sz w:val="20"/>
                <w:szCs w:val="20"/>
                <w:lang w:val="ru-RU" w:eastAsia="zh-CN" w:bidi="hi-IN"/>
              </w:rPr>
            </w:pPr>
            <w:r>
              <w:rPr>
                <w:rFonts w:eastAsia="Tahoma" w:cs="Droid Sans Devanagari"/>
                <w:b/>
                <w:bCs/>
                <w:color w:val="000000"/>
                <w:spacing w:val="0"/>
                <w:kern w:val="0"/>
                <w:sz w:val="20"/>
                <w:szCs w:val="20"/>
                <w:lang w:val="ru-RU" w:eastAsia="zh-CN" w:bidi="hi-IN"/>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bCs/>
                <w:color w:val="000000"/>
                <w:spacing w:val="0"/>
                <w:kern w:val="0"/>
                <w:sz w:val="20"/>
                <w:szCs w:val="20"/>
                <w:lang w:val="ru-RU" w:eastAsia="zh-CN" w:bidi="hi-IN"/>
              </w:rPr>
            </w:pPr>
            <w:r>
              <w:rPr>
                <w:rFonts w:eastAsia="Tahoma" w:cs="Droid Sans Devanagari"/>
                <w:b/>
                <w:bCs/>
                <w:color w:val="000000"/>
                <w:spacing w:val="0"/>
                <w:kern w:val="0"/>
                <w:sz w:val="20"/>
                <w:szCs w:val="20"/>
                <w:lang w:val="ru-RU" w:eastAsia="zh-CN" w:bidi="hi-IN"/>
              </w:rPr>
              <w:t>А.В. Ересько</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1447-р</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01.06.2021 (пункт 14)</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 xml:space="preserve">Доклад </w:t>
              <w:br/>
              <w:t>в Правительство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Минэнерго России, Минэкономразвития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Минстрой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МЧС России,</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Минтранс России, Ростехнадзор, Росстандарт</w:t>
            </w:r>
          </w:p>
          <w:p>
            <w:pPr>
              <w:pStyle w:val="Normal"/>
              <w:widowControl w:val="false"/>
              <w:suppressAutoHyphens w:val="true"/>
              <w:spacing w:lineRule="auto" w:line="240" w:before="0" w:after="0"/>
              <w:ind w:left="0" w:right="0" w:hanging="0"/>
              <w:jc w:val="center"/>
              <w:rPr>
                <w:color w:val="000000"/>
                <w:spacing w:val="0"/>
                <w:kern w:val="0"/>
                <w:sz w:val="20"/>
                <w:szCs w:val="20"/>
              </w:rPr>
            </w:pPr>
            <w:r>
              <w:rPr>
                <w:color w:val="000000"/>
                <w:spacing w:val="0"/>
                <w:kern w:val="0"/>
                <w:sz w:val="20"/>
                <w:szCs w:val="20"/>
              </w:rPr>
              <w:t>с участием публичного акционерного общества «Газпром»</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I квартал 2022 года,</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далее − ежегодно</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4</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Расширение пропускной способности, развитие и обновление инфраструктуры Транссибирской магистрали, а также портовых мощностей</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bCs/>
                <w:color w:val="000000"/>
                <w:spacing w:val="0"/>
                <w:kern w:val="0"/>
                <w:sz w:val="20"/>
                <w:szCs w:val="20"/>
                <w:lang w:val="ru-RU" w:eastAsia="zh-CN" w:bidi="hi-IN"/>
              </w:rPr>
            </w:pPr>
            <w:r>
              <w:rPr>
                <w:rFonts w:eastAsia="Tahoma" w:cs="Droid Sans Devanagari"/>
                <w:b/>
                <w:bCs/>
                <w:color w:val="000000"/>
                <w:spacing w:val="0"/>
                <w:kern w:val="0"/>
                <w:sz w:val="20"/>
                <w:szCs w:val="20"/>
                <w:lang w:val="ru-RU" w:eastAsia="zh-CN" w:bidi="hi-IN"/>
              </w:rPr>
              <w:t>А.В. Ересько</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1447-р</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01.06.2021 (пункт 23)</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Минтранс России,</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Минэнерго России, Росморречфлот</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с участием открытого акционерного общества «Российские железные дороги»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I квартал 2022 года,</w:t>
            </w:r>
          </w:p>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далее − ежегодно</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5</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Реализация первоочередных мероприятий, направленных на строительство (реконструкцию) транспортной, коммунальной, социальной и иной инфраструктур территорий, примыкающих к Байкало-Амурской и Транссибирской магистралям в Сибирском и Дальневосточном федеральных округах, в том числе в рамках Национальной программы социально-экономического развития Дальнего Востока на период до 2024 года и на перспективу до 2035 года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rFonts w:eastAsia="Tahoma" w:cs="Droid Sans Devanagari"/>
                <w:b/>
                <w:b/>
                <w:bCs/>
                <w:color w:val="000000"/>
                <w:spacing w:val="0"/>
                <w:kern w:val="0"/>
                <w:sz w:val="20"/>
                <w:szCs w:val="20"/>
                <w:shd w:fill="auto" w:val="clear"/>
                <w:lang w:val="ru-RU" w:eastAsia="zh-CN" w:bidi="hi-IN"/>
              </w:rPr>
            </w:pPr>
            <w:r>
              <w:rPr>
                <w:rFonts w:eastAsia="Tahoma" w:cs="Droid Sans Devanagari"/>
                <w:b/>
                <w:bCs/>
                <w:color w:val="000000"/>
                <w:spacing w:val="0"/>
                <w:kern w:val="0"/>
                <w:sz w:val="20"/>
                <w:szCs w:val="20"/>
                <w:shd w:fill="auto" w:val="clear"/>
                <w:lang w:val="ru-RU" w:eastAsia="zh-CN" w:bidi="hi-IN"/>
              </w:rPr>
              <w:t>А.В. Ересько</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Пр-950</w:t>
              <w:br/>
              <w:t>от 05.06.2021 (пункт 1«в»)</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МХ-П49-8035</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21.06.2021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Минстрой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Минэкономразвития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Минфин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Минвостокравзития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Минздрав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Минпросвещения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Минэнерго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Минобрнауки России,</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Минспорт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15.04.2022</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6</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pPr>
            <w:r>
              <w:rPr>
                <w:rFonts w:eastAsia="Tahoma" w:cs="Droid Sans Devanagari"/>
                <w:color w:val="000000"/>
                <w:spacing w:val="0"/>
                <w:kern w:val="0"/>
                <w:sz w:val="20"/>
                <w:szCs w:val="20"/>
                <w:lang w:val="ru-RU" w:eastAsia="zh-CN" w:bidi="hi-IN"/>
              </w:rPr>
              <w:t>Рассмотрение и поддержка включения работ по проектированию и строительству защитных гидротехнических сооружений</w:t>
            </w:r>
            <w:r>
              <w:rPr>
                <w:color w:val="000000"/>
                <w:sz w:val="20"/>
                <w:szCs w:val="20"/>
              </w:rPr>
              <w:t xml:space="preserve"> грузового порта «Имеретинский» в адресную инвестиционную программу ФГУП </w:t>
            </w:r>
            <w:r>
              <w:rPr>
                <w:rFonts w:eastAsia="Tahoma" w:cs="Droid Sans Devanagari"/>
                <w:color w:val="000000"/>
                <w:spacing w:val="0"/>
                <w:kern w:val="0"/>
                <w:sz w:val="20"/>
                <w:szCs w:val="20"/>
                <w:lang w:val="ru-RU" w:eastAsia="zh-CN" w:bidi="hi-IN"/>
              </w:rPr>
              <w:t>«Росморпорт» 2022 года</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Ответственный исполнитель:</w:t>
            </w:r>
          </w:p>
          <w:p>
            <w:pPr>
              <w:pStyle w:val="Normal"/>
              <w:widowControl w:val="false"/>
              <w:suppressAutoHyphens w:val="true"/>
              <w:spacing w:lineRule="auto" w:line="240" w:before="0" w:after="0"/>
              <w:ind w:left="0" w:right="0" w:hanging="0"/>
              <w:jc w:val="both"/>
              <w:rPr>
                <w:b/>
                <w:b/>
                <w:color w:val="000000"/>
                <w:spacing w:val="0"/>
                <w:kern w:val="0"/>
                <w:sz w:val="20"/>
                <w:szCs w:val="20"/>
              </w:rPr>
            </w:pPr>
            <w:r>
              <w:rPr>
                <w:b/>
                <w:color w:val="000000"/>
                <w:spacing w:val="0"/>
                <w:kern w:val="0"/>
                <w:sz w:val="20"/>
                <w:szCs w:val="20"/>
              </w:rPr>
              <w:t>В.В. Клюев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Пр-1278</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от 20.07.2021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Доклад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Минтранс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02.12.2022</w:t>
            </w:r>
          </w:p>
        </w:tc>
      </w:tr>
      <w:tr>
        <w:trPr>
          <w:trHeight w:val="75" w:hRule="atLeast"/>
        </w:trPr>
        <w:tc>
          <w:tcPr>
            <w:tcW w:w="15588" w:type="dxa"/>
            <w:gridSpan w:val="9"/>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3"/>
                <w:szCs w:val="20"/>
                <w:shd w:fill="auto" w:val="clear"/>
                <w:lang w:val="ru-RU" w:eastAsia="zh-CN" w:bidi="hi-IN"/>
              </w:rPr>
            </w:pPr>
            <w:r>
              <w:rPr>
                <w:rFonts w:eastAsia="Tahoma" w:cs="Droid Sans Devanagari"/>
                <w:color w:val="000000"/>
                <w:spacing w:val="0"/>
                <w:kern w:val="0"/>
                <w:sz w:val="23"/>
                <w:szCs w:val="20"/>
                <w:shd w:fill="auto" w:val="clear"/>
                <w:lang w:val="ru-RU" w:eastAsia="zh-CN" w:bidi="hi-IN"/>
              </w:rPr>
              <w:t>2023 год</w:t>
            </w:r>
          </w:p>
        </w:tc>
      </w:tr>
      <w:tr>
        <w:trPr>
          <w:trHeight w:val="75" w:hRule="atLeast"/>
        </w:trPr>
        <w:tc>
          <w:tcPr>
            <w:tcW w:w="56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w:t>
            </w:r>
          </w:p>
        </w:tc>
        <w:tc>
          <w:tcPr>
            <w:tcW w:w="4967" w:type="dxa"/>
            <w:tcBorders>
              <w:left w:val="single" w:sz="4" w:space="0" w:color="000000"/>
              <w:bottom w:val="single" w:sz="4" w:space="0" w:color="000000"/>
              <w:right w:val="single" w:sz="4" w:space="0" w:color="000000"/>
            </w:tcBorders>
          </w:tcPr>
          <w:p>
            <w:pPr>
              <w:pStyle w:val="Normal"/>
              <w:widowControl w:val="false"/>
              <w:suppressAutoHyphens w:val="true"/>
              <w:spacing w:lineRule="auto" w:line="240" w:before="0" w:after="0"/>
              <w:ind w:left="0" w:right="0" w:hanging="0"/>
              <w:jc w:val="both"/>
              <w:rPr>
                <w:color w:val="000000"/>
                <w:sz w:val="20"/>
                <w:szCs w:val="20"/>
              </w:rPr>
            </w:pPr>
            <w:r>
              <w:rPr>
                <w:color w:val="000000"/>
                <w:sz w:val="20"/>
                <w:szCs w:val="20"/>
              </w:rPr>
              <w:t>Выделение в 2023 - 2030 годах средств федерального бюджета на строительство автомобильной дороги «Северный обход г. Омска»</w:t>
            </w:r>
          </w:p>
          <w:p>
            <w:pPr>
              <w:pStyle w:val="Normal"/>
              <w:widowControl w:val="false"/>
              <w:suppressAutoHyphens w:val="true"/>
              <w:spacing w:lineRule="auto" w:line="240" w:before="0" w:after="0"/>
              <w:ind w:left="0" w:right="0" w:hanging="0"/>
              <w:jc w:val="both"/>
              <w:rPr>
                <w:b/>
                <w:b/>
                <w:bCs/>
                <w:color w:val="000000"/>
                <w:sz w:val="20"/>
                <w:szCs w:val="20"/>
                <w:shd w:fill="auto" w:val="clear"/>
              </w:rPr>
            </w:pPr>
            <w:r>
              <w:rPr>
                <w:b/>
                <w:bCs/>
                <w:color w:val="000000"/>
                <w:sz w:val="20"/>
                <w:szCs w:val="20"/>
                <w:shd w:fill="auto" w:val="clear"/>
              </w:rPr>
              <w:t>Ответственный исполнитель:</w:t>
            </w:r>
          </w:p>
          <w:p>
            <w:pPr>
              <w:pStyle w:val="Normal"/>
              <w:widowControl w:val="false"/>
              <w:suppressAutoHyphens w:val="true"/>
              <w:spacing w:lineRule="auto" w:line="240" w:before="0" w:after="0"/>
              <w:ind w:left="0" w:right="0" w:hanging="0"/>
              <w:jc w:val="both"/>
              <w:rPr>
                <w:b/>
                <w:b/>
                <w:bCs/>
                <w:color w:val="000000"/>
                <w:sz w:val="20"/>
                <w:szCs w:val="20"/>
                <w:shd w:fill="auto" w:val="clear"/>
              </w:rPr>
            </w:pPr>
            <w:r>
              <w:rPr>
                <w:b/>
                <w:bCs/>
                <w:color w:val="000000"/>
                <w:sz w:val="20"/>
                <w:szCs w:val="20"/>
                <w:shd w:fill="auto" w:val="clear"/>
              </w:rPr>
              <w:t>А.В. Шилов</w:t>
            </w:r>
          </w:p>
        </w:tc>
        <w:tc>
          <w:tcPr>
            <w:tcW w:w="1983"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Пр-589 от 13.04.2021</w:t>
            </w:r>
          </w:p>
        </w:tc>
        <w:tc>
          <w:tcPr>
            <w:tcW w:w="1702" w:type="dxa"/>
            <w:gridSpan w:val="2"/>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МХ-П49-4921</w:t>
            </w:r>
          </w:p>
          <w:p>
            <w:pPr>
              <w:pStyle w:val="Normal"/>
              <w:widowControl w:val="false"/>
              <w:suppressAutoHyphens w:val="true"/>
              <w:spacing w:lineRule="auto" w:line="240" w:before="0" w:after="0"/>
              <w:ind w:left="0" w:right="0" w:hanging="0"/>
              <w:jc w:val="center"/>
              <w:rPr>
                <w:color w:val="000000"/>
                <w:sz w:val="20"/>
                <w:szCs w:val="20"/>
              </w:rPr>
            </w:pPr>
            <w:r>
              <w:rPr>
                <w:color w:val="000000"/>
                <w:sz w:val="20"/>
                <w:szCs w:val="20"/>
              </w:rPr>
              <w:t>19.04.2021</w:t>
            </w:r>
          </w:p>
        </w:tc>
        <w:tc>
          <w:tcPr>
            <w:tcW w:w="2069"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shd w:fill="auto" w:val="clear"/>
                <w:lang w:val="ru-RU" w:eastAsia="zh-CN" w:bidi="hi-IN"/>
              </w:rPr>
            </w:pPr>
            <w:r>
              <w:rPr>
                <w:rFonts w:eastAsia="Tahoma" w:cs="Droid Sans Devanagari"/>
                <w:color w:val="000000"/>
                <w:spacing w:val="0"/>
                <w:kern w:val="0"/>
                <w:sz w:val="20"/>
                <w:szCs w:val="20"/>
                <w:shd w:fill="auto" w:val="clear"/>
                <w:lang w:val="ru-RU" w:eastAsia="zh-CN" w:bidi="hi-IN"/>
              </w:rPr>
              <w:t>Доклад в Правительство Российской Федерации с докладом Президенту Российской Федерации</w:t>
            </w:r>
          </w:p>
        </w:tc>
        <w:tc>
          <w:tcPr>
            <w:tcW w:w="2332"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Минтранс России,</w:t>
            </w:r>
          </w:p>
          <w:p>
            <w:pPr>
              <w:pStyle w:val="Normal"/>
              <w:widowControl w:val="false"/>
              <w:suppressAutoHyphens w:val="true"/>
              <w:spacing w:lineRule="auto" w:line="240" w:before="0" w:after="0"/>
              <w:ind w:left="0" w:right="0" w:hanging="0"/>
              <w:jc w:val="center"/>
              <w:rPr>
                <w:color w:val="000000"/>
                <w:sz w:val="20"/>
                <w:szCs w:val="20"/>
                <w:shd w:fill="auto" w:val="clear"/>
              </w:rPr>
            </w:pPr>
            <w:r>
              <w:rPr>
                <w:color w:val="000000"/>
                <w:sz w:val="20"/>
                <w:szCs w:val="20"/>
                <w:shd w:fill="auto" w:val="clear"/>
              </w:rPr>
              <w:t>Минфин России</w:t>
            </w:r>
          </w:p>
        </w:tc>
        <w:tc>
          <w:tcPr>
            <w:tcW w:w="1973" w:type="dxa"/>
            <w:tcBorders>
              <w:left w:val="single" w:sz="4" w:space="0" w:color="000000"/>
              <w:bottom w:val="single" w:sz="4" w:space="0" w:color="000000"/>
              <w:right w:val="single" w:sz="4" w:space="0" w:color="000000"/>
            </w:tcBorders>
            <w:vAlign w:val="center"/>
          </w:tcPr>
          <w:p>
            <w:pPr>
              <w:pStyle w:val="Normal"/>
              <w:widowControl w:val="false"/>
              <w:suppressAutoHyphens w:val="true"/>
              <w:spacing w:lineRule="auto" w:line="240" w:before="0" w:after="0"/>
              <w:ind w:left="0" w:right="0" w:hanging="0"/>
              <w:jc w:val="center"/>
              <w:rPr>
                <w:rFonts w:eastAsia="Tahoma" w:cs="Droid Sans Devanagari"/>
                <w:color w:val="000000"/>
                <w:spacing w:val="0"/>
                <w:kern w:val="0"/>
                <w:sz w:val="20"/>
                <w:szCs w:val="20"/>
                <w:lang w:val="ru-RU" w:eastAsia="zh-CN" w:bidi="hi-IN"/>
              </w:rPr>
            </w:pPr>
            <w:r>
              <w:rPr>
                <w:rFonts w:eastAsia="Tahoma" w:cs="Droid Sans Devanagari"/>
                <w:color w:val="000000"/>
                <w:spacing w:val="0"/>
                <w:kern w:val="0"/>
                <w:sz w:val="20"/>
                <w:szCs w:val="20"/>
                <w:lang w:val="ru-RU" w:eastAsia="zh-CN" w:bidi="hi-IN"/>
              </w:rPr>
              <w:t>26.01.2023</w:t>
            </w:r>
          </w:p>
        </w:tc>
      </w:tr>
    </w:tbl>
    <w:p>
      <w:pPr>
        <w:pStyle w:val="Normal"/>
        <w:jc w:val="both"/>
        <w:rPr/>
      </w:pPr>
      <w:r>
        <w:rPr/>
      </w:r>
    </w:p>
    <w:sectPr>
      <w:headerReference w:type="default" r:id="rId12"/>
      <w:footerReference w:type="default" r:id="rId13"/>
      <w:footnotePr>
        <w:numFmt w:val="decimal"/>
      </w:footnotePr>
      <w:type w:val="nextPage"/>
      <w:pgSz w:orient="landscape" w:w="16838" w:h="11906"/>
      <w:pgMar w:left="1134" w:right="567" w:header="708" w:top="851" w:footer="585" w:bottom="709"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XO Thames">
    <w:charset w:val="01"/>
    <w:family w:val="roman"/>
    <w:pitch w:val="variable"/>
  </w:font>
  <w:font w:name="Arial">
    <w:charset w:val="01"/>
    <w:family w:val="roman"/>
    <w:pitch w:val="variable"/>
  </w:font>
  <w:font w:name="Calibri">
    <w:charset w:val="01"/>
    <w:family w:val="roman"/>
    <w:pitch w:val="variable"/>
  </w:font>
  <w:font w:name="Tahoma">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Symbol">
    <w:charset w:val="02"/>
    <w:family w:val="auto"/>
    <w:pitch w:val="default"/>
  </w:font>
  <w:font w:name="Courier New">
    <w:charset w:val="01"/>
    <w:family w:val="auto"/>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right"/>
      <w:rPr/>
    </w:pPr>
    <w:r>
      <w:rPr/>
    </w:r>
  </w:p>
  <w:p>
    <w:pPr>
      <w:pStyle w:val="Style26"/>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right"/>
      <w:rPr/>
    </w:pPr>
    <w:r>
      <w:rPr/>
    </w:r>
  </w:p>
  <w:p>
    <w:pPr>
      <w:pStyle w:val="Style26"/>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right"/>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Style30"/>
        <w:jc w:val="both"/>
        <w:rPr/>
      </w:pPr>
      <w:r>
        <w:rPr>
          <w:rStyle w:val="Style13"/>
        </w:rPr>
        <w:footnoteRef/>
      </w:r>
      <w:r>
        <w:rPr>
          <w:sz w:val="20"/>
          <w:szCs w:val="20"/>
        </w:rPr>
        <w:t xml:space="preserve"> </w:t>
      </w:r>
      <w:r>
        <w:rPr>
          <w:sz w:val="20"/>
          <w:szCs w:val="20"/>
        </w:rPr>
        <w:t>С 2022 года 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одобренного управляющим советом государственной программы Российской Федерации «Развитие транспортной системы» (Протокол от 20.09.2021 № 2) (далее – проект паспорта ГП РТС), будет действовать наименование цели «Ускорение товародвижения на основе повышения индекса качества транспортной инфраструктуры на 5,7 % относительно уровня 2021 года».</w:t>
      </w:r>
    </w:p>
  </w:footnote>
  <w:footnote w:id="3">
    <w:p>
      <w:pPr>
        <w:pStyle w:val="Style30"/>
        <w:widowControl w:val="false"/>
        <w:jc w:val="both"/>
        <w:rPr/>
      </w:pPr>
      <w:r>
        <w:rPr>
          <w:rStyle w:val="Style13"/>
        </w:rPr>
        <w:footnoteRef/>
      </w:r>
      <w:r>
        <w:rPr/>
        <w:t xml:space="preserve"> </w:t>
      </w:r>
      <w:r>
        <w:rPr>
          <w:sz w:val="20"/>
          <w:szCs w:val="20"/>
        </w:rPr>
        <w:t>До 2022 года действует наименование показателя «Индекс качества транспортной инфраструктуры относительно уровня 2017 года, %», с 2022 года – «Индекс качества транспортной инфраструктуры к уровню 2021 года, %».</w:t>
      </w:r>
    </w:p>
  </w:footnote>
  <w:footnote w:id="4">
    <w:p>
      <w:pPr>
        <w:pStyle w:val="Style30"/>
        <w:jc w:val="both"/>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«Повышение доступности качественных транспортных услуг для обеспечения транспортной подвижности населения на уровне 9,3 тыс. пасс.-км на 1 жителя».</w:t>
      </w:r>
    </w:p>
  </w:footnote>
  <w:footnote w:id="5">
    <w:p>
      <w:pPr>
        <w:pStyle w:val="Style30"/>
        <w:jc w:val="both"/>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«Повышение конкурентоспособности транспортной системы России на мировом рынке транспортных услуг и рост экспорта услуг транспортного комплекса до 22,0 млрд. долларов США».</w:t>
      </w:r>
    </w:p>
  </w:footnote>
  <w:footnote w:id="6">
    <w:p>
      <w:pPr>
        <w:pStyle w:val="Style30"/>
        <w:widowControl w:val="false"/>
        <w:jc w:val="both"/>
        <w:rPr>
          <w:rFonts w:eastAsia="Tahoma" w:cs="Droid Sans Devanagari"/>
          <w:color w:val="000000"/>
          <w:spacing w:val="0"/>
          <w:kern w:val="0"/>
          <w:sz w:val="20"/>
          <w:szCs w:val="20"/>
          <w:lang w:val="ru-RU" w:eastAsia="zh-CN" w:bidi="hi-IN"/>
        </w:rPr>
      </w:pPr>
      <w:r>
        <w:rPr>
          <w:rStyle w:val="Style13"/>
        </w:rPr>
        <w:footnoteRef/>
      </w:r>
      <w:r>
        <w:rPr>
          <w:rFonts w:eastAsia="Tahoma" w:cs="Droid Sans Devanagari"/>
          <w:color w:val="000000"/>
          <w:spacing w:val="0"/>
          <w:kern w:val="0"/>
          <w:sz w:val="20"/>
          <w:szCs w:val="20"/>
          <w:lang w:val="ru-RU" w:eastAsia="zh-CN" w:bidi="hi-IN"/>
        </w:rPr>
        <w:t xml:space="preserve"> </w:t>
      </w:r>
      <w:r>
        <w:rPr>
          <w:rFonts w:eastAsia="Tahoma" w:cs="Droid Sans Devanagari"/>
          <w:color w:val="000000"/>
          <w:spacing w:val="0"/>
          <w:kern w:val="0"/>
          <w:sz w:val="20"/>
          <w:szCs w:val="20"/>
          <w:lang w:val="ru-RU" w:eastAsia="zh-CN" w:bidi="hi-IN"/>
        </w:rPr>
        <w:t>До 2022 года действует наименование показателя «Экспорт транспортных услуг, млрд. долларов США», с 2022 года – «Объем экспорта услуг транспортного комплекса, млрд. долларов США».</w:t>
      </w:r>
    </w:p>
  </w:footnote>
  <w:footnote w:id="7">
    <w:p>
      <w:pPr>
        <w:pStyle w:val="Style30"/>
        <w:jc w:val="both"/>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«Повышение комплексной безопасности и устойчивости транспортной системы с целью сокращения числа происшествий на транспорте на единицу транспортных средств на 6,6 % относительно уровня 2021 года».</w:t>
      </w:r>
    </w:p>
  </w:footnote>
  <w:footnote w:id="8">
    <w:p>
      <w:pPr>
        <w:pStyle w:val="Style30"/>
        <w:widowControl w:val="false"/>
        <w:jc w:val="both"/>
        <w:rPr>
          <w:sz w:val="20"/>
          <w:szCs w:val="20"/>
        </w:rPr>
      </w:pPr>
      <w:r>
        <w:rPr>
          <w:rStyle w:val="Style13"/>
        </w:rPr>
        <w:footnoteRef/>
      </w:r>
      <w:r>
        <w:rPr>
          <w:sz w:val="20"/>
          <w:szCs w:val="20"/>
        </w:rPr>
        <w:t xml:space="preserve"> </w:t>
      </w:r>
      <w:r>
        <w:rPr>
          <w:sz w:val="20"/>
          <w:szCs w:val="20"/>
        </w:rPr>
        <w:t>До 2022 года действует наименование показателя «Число происшествий на транспорте на единицу транспортных средств относительно уровня 2017 года, %», с 2022 года – «Число происшествий на транспорте на единицу транспортных средств (% к 2021 году), %».</w:t>
      </w:r>
    </w:p>
  </w:footnote>
  <w:footnote w:id="9">
    <w:p>
      <w:pPr>
        <w:pStyle w:val="Style30"/>
        <w:jc w:val="both"/>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«Доведение доли автомобильных дорог регионального</w:t>
        <w:br/>
        <w:t>и межмуниципального значения, соответствующих нормативным требованиям, до 50,9 %».</w:t>
      </w:r>
    </w:p>
  </w:footnote>
  <w:footnote w:id="10">
    <w:p>
      <w:pPr>
        <w:pStyle w:val="Footnote1"/>
        <w:widowControl w:val="false"/>
        <w:jc w:val="both"/>
        <w:rPr/>
      </w:pPr>
      <w:r>
        <w:rPr>
          <w:rStyle w:val="Style13"/>
        </w:rPr>
        <w:footnoteRef/>
      </w:r>
      <w:r>
        <w:rPr/>
        <w:t xml:space="preserve"> </w:t>
      </w:r>
      <w:r>
        <w:rPr/>
        <w:t>До 2022 года действует наименование показателя «Доля автомобильных дорог регионального значения, соответствующих нормативным требованиям, %», с 2022 года – «Доля автомобильных дорог регионального и межмуниципального значения, соответствующих нормативным требованиям, %».</w:t>
      </w:r>
    </w:p>
  </w:footnote>
  <w:footnote w:id="11">
    <w:p>
      <w:pPr>
        <w:pStyle w:val="Normal"/>
        <w:jc w:val="both"/>
        <w:rPr>
          <w:sz w:val="20"/>
        </w:rPr>
      </w:pPr>
      <w:r>
        <w:rPr>
          <w:rStyle w:val="Style13"/>
        </w:rPr>
        <w:footnoteRef/>
      </w:r>
      <w:r>
        <w:rPr>
          <w:sz w:val="20"/>
        </w:rPr>
        <w:t xml:space="preserve"> </w:t>
      </w:r>
      <w:r>
        <w:rPr>
          <w:sz w:val="20"/>
        </w:rPr>
        <w:t>В соответствии с показателями сводной бюджетной росписи по состоянию на 01.09.2021, указанными в приложении № 9 к пояснительной записке к проекту федерального закона № 1258295-7 «О федеральном бюджете на 2022 год и на плановый период 2023 и 2024 годов».</w:t>
      </w:r>
    </w:p>
  </w:footnote>
  <w:footnote w:id="12">
    <w:p>
      <w:pPr>
        <w:pStyle w:val="Style30"/>
        <w:jc w:val="both"/>
        <w:rPr>
          <w:sz w:val="20"/>
          <w:szCs w:val="20"/>
        </w:rPr>
      </w:pPr>
      <w:r>
        <w:rPr>
          <w:rStyle w:val="Style13"/>
        </w:rPr>
        <w:footnoteRef/>
      </w:r>
      <w:r>
        <w:rPr>
          <w:sz w:val="20"/>
          <w:szCs w:val="20"/>
        </w:rPr>
        <w:t xml:space="preserve"> </w:t>
      </w:r>
      <w:r>
        <w:rPr>
          <w:sz w:val="20"/>
          <w:szCs w:val="20"/>
        </w:rPr>
        <w:t>Раздел подготовлен в соответствии с информацией, направленной в Правительственную комиссию по экономическому развитию и интеграции письмом Минтранса России от 23.11.2021 № ВД-Д12-10/22861.</w:t>
      </w:r>
    </w:p>
  </w:footnote>
  <w:footnote w:id="13">
    <w:p>
      <w:pPr>
        <w:pStyle w:val="Style30"/>
        <w:widowControl w:val="false"/>
        <w:jc w:val="both"/>
        <w:rPr/>
      </w:pPr>
      <w:r>
        <w:rPr>
          <w:rStyle w:val="Style13"/>
        </w:rPr>
        <w:footnoteRef/>
      </w:r>
      <w:r>
        <w:rPr>
          <w:sz w:val="20"/>
          <w:szCs w:val="20"/>
        </w:rPr>
        <w:t xml:space="preserve"> </w:t>
      </w:r>
      <w:r>
        <w:rPr>
          <w:sz w:val="20"/>
          <w:szCs w:val="20"/>
        </w:rPr>
        <w:t>С 2022 года в соответствии с параметрами, предусмотренными положениями проекта паспорта государственной программы (комплексной программы) Российской Федерации «Развитие транспортной системы» (далее – проект паспорта ГП РТС), будет действовать наименование цели «Ускорение товародвижения на основе повышения индекса качества транспортной инфраструктуры на 5,7 % относительно уровня 2021 года».</w:t>
      </w:r>
    </w:p>
  </w:footnote>
  <w:footnote w:id="14">
    <w:p>
      <w:pPr>
        <w:pStyle w:val="Footnote1"/>
        <w:widowControl w:val="false"/>
        <w:jc w:val="both"/>
        <w:rPr/>
      </w:pPr>
      <w:r>
        <w:rPr>
          <w:rStyle w:val="Style13"/>
        </w:rPr>
        <w:footnoteRef/>
      </w:r>
      <w:r>
        <w:rPr/>
        <w:t xml:space="preserve"> </w:t>
      </w:r>
      <w:r>
        <w:rPr/>
        <w:t>Значение показателя на 2019-2020 годы указаны в соответствии с паспортом федерального проекта «Железнодорожный транспорт и транзит» национального проекта «Транспортная часть комплексного плана модернизации и расширения магистральной инфраструктуры на период до 2024 года». Реализация указанного федерального проекта в рамках скорректированного паспорта Транспортной части комплексного плана модернизации и расширения магистральной инфраструктуры</w:t>
        <w:br/>
        <w:t>на период до 2024 года не предусматривается</w:t>
      </w:r>
      <w:r>
        <w:rPr>
          <w:shd w:fill="auto" w:val="clear"/>
        </w:rPr>
        <w:t xml:space="preserve"> (протокол заседания президиума Совета при Президенте Российской Федерации по стратегическому и национальным проектам</w:t>
        <w:br/>
        <w:t>от 29.10.2020 № 11).</w:t>
      </w:r>
    </w:p>
  </w:footnote>
  <w:footnote w:id="15">
    <w:p>
      <w:pPr>
        <w:pStyle w:val="Footnote1"/>
        <w:widowControl w:val="false"/>
        <w:jc w:val="both"/>
        <w:rPr/>
      </w:pPr>
      <w:r>
        <w:rPr>
          <w:rStyle w:val="Style13"/>
        </w:rPr>
        <w:footnoteRef/>
      </w:r>
      <w:r>
        <w:rPr/>
        <w:t xml:space="preserve"> </w:t>
      </w:r>
      <w:r>
        <w:rPr/>
        <w:t xml:space="preserve">Значение показателя на 2019-2020 годы указаны в соответствии с паспортом федерального проекта «Внутренние водные пути» национального проекта «Транспортная часть комплексного плана модернизации и расширения магистральной инфраструктуры на период до 2024 года».  </w:t>
      </w:r>
    </w:p>
  </w:footnote>
  <w:footnote w:id="16">
    <w:p>
      <w:pPr>
        <w:pStyle w:val="Footnote1"/>
        <w:widowControl w:val="false"/>
        <w:jc w:val="both"/>
        <w:rPr/>
      </w:pPr>
      <w:r>
        <w:rPr>
          <w:rStyle w:val="Style13"/>
        </w:rPr>
        <w:footnoteRef/>
      </w:r>
      <w:r>
        <w:rPr/>
        <w:t xml:space="preserve"> </w:t>
      </w:r>
      <w:r>
        <w:rPr/>
        <w:t xml:space="preserve">Значения показателя на 2019-2020 годы указаны как сумма показателей по федеральным проектам «Коммуникации между центрами экономического роста» и «Морские порты России» национального проекта «Транспортная часть комплексного плана модернизации и расширения магистральной инфраструктуры на период до 2024 года», </w:t>
        <w:br/>
        <w:t>а также ведомственного проекта «Развитие сети федеральных автомобильных дорог общего пользования». С 2021 года значения показателя указаны как сумма показателей по федеральному проекту «Развитие федеральной магистральной сети» национального проекта «Безопасные качественные дороги» и федерального проекта «Строительство автомобильных дорог международного транспортного коридора Европа</w:t>
      </w:r>
      <w:r>
        <w:rPr>
          <w:color w:val="000000"/>
        </w:rPr>
        <w:t> – </w:t>
      </w:r>
      <w:r>
        <w:rPr/>
        <w:t>Западный Китай» Транспортн</w:t>
      </w:r>
      <w:r>
        <w:rPr>
          <w:rFonts w:eastAsia="Tahoma" w:cs="Droid Sans Devanagari"/>
          <w:color w:val="000000"/>
          <w:spacing w:val="0"/>
          <w:kern w:val="0"/>
          <w:sz w:val="20"/>
          <w:szCs w:val="20"/>
          <w:lang w:val="ru-RU" w:eastAsia="zh-CN" w:bidi="hi-IN"/>
        </w:rPr>
        <w:t>ой</w:t>
      </w:r>
      <w:r>
        <w:rPr/>
        <w:t xml:space="preserve"> части комплексного плана модернизации и расширения магистральной инфраструктуры на период до 2024 года.</w:t>
      </w:r>
    </w:p>
  </w:footnote>
  <w:footnote w:id="17">
    <w:p>
      <w:pPr>
        <w:pStyle w:val="Style30"/>
        <w:widowControl w:val="false"/>
        <w:jc w:val="both"/>
        <w:rPr>
          <w:color w:val="000000"/>
          <w:sz w:val="20"/>
          <w:szCs w:val="20"/>
          <w:shd w:fill="auto" w:val="clear"/>
        </w:rPr>
      </w:pPr>
      <w:r>
        <w:rPr>
          <w:rStyle w:val="Style13"/>
        </w:rPr>
        <w:footnoteRef/>
      </w:r>
      <w:r>
        <w:rPr>
          <w:color w:val="000000"/>
          <w:sz w:val="20"/>
          <w:szCs w:val="20"/>
          <w:shd w:fill="auto" w:val="clear"/>
        </w:rPr>
        <w:t xml:space="preserve"> </w:t>
      </w:r>
      <w:r>
        <w:rPr>
          <w:color w:val="000000"/>
          <w:sz w:val="20"/>
          <w:szCs w:val="20"/>
          <w:shd w:fill="auto" w:val="clear"/>
        </w:rPr>
        <w:t>Значение индикатора подлежит уточнению после формирования федерального проекта «Содействие развитию автомобильных дорог регионального, межмуниципального и местного значения» государственной программы Российской Федерации «Развитие транспортной системы».</w:t>
      </w:r>
    </w:p>
  </w:footnote>
  <w:footnote w:id="18">
    <w:p>
      <w:pPr>
        <w:pStyle w:val="Style30"/>
        <w:widowControl w:val="false"/>
        <w:jc w:val="both"/>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«Повышение доступности качественных транспортных услуг для обеспечения транспортной подвижности населения на уровне 9,3 тыс. пасс.-км на 1 жителя».</w:t>
      </w:r>
    </w:p>
  </w:footnote>
  <w:footnote w:id="19">
    <w:p>
      <w:pPr>
        <w:pStyle w:val="Footnote1"/>
        <w:widowControl w:val="false"/>
        <w:jc w:val="both"/>
        <w:rPr/>
      </w:pPr>
      <w:r>
        <w:rPr>
          <w:rStyle w:val="Style13"/>
        </w:rPr>
        <w:footnoteRef/>
      </w:r>
      <w:r>
        <w:rPr/>
        <w:t xml:space="preserve"> </w:t>
      </w:r>
      <w:r>
        <w:rPr/>
        <w:t xml:space="preserve">Значение показателей на 2019-2020 годы указаны в соответствии с федеральным проектом «Развитие региональных аэропортов и маршрутов» национального проекта «Транспортная часть комплексного плана модернизации и расширения магистральной инфраструктуры на период до 2024 года». </w:t>
      </w:r>
    </w:p>
  </w:footnote>
  <w:footnote w:id="20">
    <w:p>
      <w:pPr>
        <w:pStyle w:val="Style30"/>
        <w:widowControl w:val="false"/>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«Повышение конкурентоспособности транспортной системы России на мировом рынке транспортных услуг и рост экспорта услуг транспортного комплекса до 22,0 млрд. долларов США».</w:t>
      </w:r>
    </w:p>
  </w:footnote>
  <w:footnote w:id="21">
    <w:p>
      <w:pPr>
        <w:pStyle w:val="Footnote1"/>
        <w:widowControl w:val="false"/>
        <w:jc w:val="both"/>
        <w:rPr/>
      </w:pPr>
      <w:r>
        <w:rPr>
          <w:rStyle w:val="Style13"/>
        </w:rPr>
        <w:footnoteRef/>
      </w:r>
      <w:r>
        <w:rPr/>
        <w:t xml:space="preserve"> </w:t>
      </w:r>
      <w:r>
        <w:rPr/>
        <w:t>В соответствии с пунктом 3 раздела I протокола заочного голосования членов проектного комитета по национальному проекту «Международная кооперация и развитие экспорта» от 30.09.2020 № 7 федеральный проект «Логистика международной торговли» досрочно завершен. С 2022 года данные мероприятия будут осуществляться в рамках ведомственного проекта «Строительство, реконструкция и техническое перевооружение пунктов пропуска через государственную границу Российской Федерации» государственной программы «Развитие транспортной системы».</w:t>
      </w:r>
    </w:p>
  </w:footnote>
  <w:footnote w:id="22">
    <w:p>
      <w:pPr>
        <w:pStyle w:val="Style30"/>
        <w:widowControl w:val="false"/>
        <w:rPr/>
      </w:pPr>
      <w:r>
        <w:rPr>
          <w:rStyle w:val="Style13"/>
        </w:rPr>
        <w:footnoteRef/>
      </w:r>
      <w:r>
        <w:rPr>
          <w:sz w:val="20"/>
          <w:szCs w:val="20"/>
        </w:rPr>
        <w:t xml:space="preserve"> </w:t>
      </w:r>
      <w:r>
        <w:rPr>
          <w:rFonts w:eastAsia="Tahoma" w:cs="Droid Sans Devanagari"/>
          <w:color w:val="000000"/>
          <w:spacing w:val="0"/>
          <w:kern w:val="0"/>
          <w:sz w:val="20"/>
          <w:szCs w:val="20"/>
          <w:lang w:val="ru-RU" w:eastAsia="zh-CN" w:bidi="hi-IN"/>
        </w:rPr>
        <w:t>З</w:t>
      </w:r>
      <w:r>
        <w:rPr>
          <w:sz w:val="20"/>
          <w:szCs w:val="20"/>
        </w:rPr>
        <w:t>авершено в соответствии с распоряжением Правительства Российской Федерации от 27.11.2021 № 3363-р.</w:t>
      </w:r>
    </w:p>
  </w:footnote>
  <w:footnote w:id="23">
    <w:p>
      <w:pPr>
        <w:pStyle w:val="Footnote1"/>
        <w:widowControl w:val="false"/>
        <w:jc w:val="both"/>
        <w:rPr/>
      </w:pPr>
      <w:r>
        <w:rPr>
          <w:rStyle w:val="Style13"/>
        </w:rPr>
        <w:footnoteRef/>
      </w:r>
      <w:r>
        <w:rPr/>
        <w:t xml:space="preserve"> </w:t>
      </w:r>
      <w:r>
        <w:rPr/>
        <w:t>Значение показателя на 2019-2020 годы указаны в соответствии с паспортом федерального проекта «Транспортно-логистические центры» национального проекта «Транспортная часть комплексного плана модернизации и расширения магистральной инфраструктуры на период до 2024 года». С 2021 года данные мероприятия будут осуществляться в рамках ведомственного проекта «Формирование сети транспортно-логистических центров» государственной программы «Развитие транспортной системы».</w:t>
      </w:r>
    </w:p>
  </w:footnote>
  <w:footnote w:id="24">
    <w:p>
      <w:pPr>
        <w:pStyle w:val="Style30"/>
        <w:widowControl w:val="false"/>
        <w:jc w:val="both"/>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«Повышение комплексной безопасности и устойчивости транспортной системы с целью сокращения числа происшествий на транспорте на единицу транспортных средств на 6,6 % относительно уровня 2021 года».</w:t>
      </w:r>
    </w:p>
  </w:footnote>
  <w:footnote w:id="25">
    <w:p>
      <w:pPr>
        <w:pStyle w:val="Style30"/>
        <w:widowControl w:val="false"/>
        <w:jc w:val="both"/>
        <w:rPr/>
      </w:pPr>
      <w:r>
        <w:rPr>
          <w:rStyle w:val="Style13"/>
        </w:rPr>
        <w:footnoteRef/>
      </w:r>
      <w:r>
        <w:rPr>
          <w:rFonts w:eastAsia="Tahoma" w:cs="Droid Sans Devanagari"/>
          <w:b/>
          <w:bCs/>
          <w:color w:val="000000"/>
          <w:spacing w:val="0"/>
          <w:kern w:val="0"/>
          <w:sz w:val="20"/>
          <w:szCs w:val="20"/>
          <w:lang w:val="ru-RU" w:eastAsia="zh-CN" w:bidi="hi-IN"/>
        </w:rPr>
        <w:t xml:space="preserve"> </w:t>
      </w:r>
      <w:r>
        <w:rPr>
          <w:rFonts w:eastAsia="Tahoma" w:cs="Droid Sans Devanagari"/>
          <w:color w:val="000000"/>
          <w:spacing w:val="0"/>
          <w:kern w:val="0"/>
          <w:sz w:val="20"/>
          <w:szCs w:val="20"/>
          <w:shd w:fill="auto" w:val="clear"/>
          <w:lang w:val="ru-RU" w:eastAsia="zh-CN" w:bidi="hi-IN"/>
        </w:rPr>
        <w:t>Значения индикаторов направления (блока мероприятий) 4.1 указаны в соответствии с индикаторами реализации Комплексной программы обеспечения безопасности населения на транспорте, утвержденной распоряжением Правительства Российской Федерации от 30 июля 2010 г. № 1285-р, (далее − КПОБ). В 2019-2021 годах средства на реализацию КПОБ в федеральном бюджете не предусматривались. Достижение указанных индикаторов и ожидаемых результатов по направлению (блоку мероприятий) 4.1 возможно при условии доведения в полном объеме средств федерального бюджета на реализацию соответствующих мероприятий КПОБ.</w:t>
      </w:r>
    </w:p>
  </w:footnote>
  <w:footnote w:id="26">
    <w:p>
      <w:pPr>
        <w:pStyle w:val="Style30"/>
        <w:widowControl w:val="false"/>
        <w:jc w:val="both"/>
        <w:rPr>
          <w:sz w:val="20"/>
          <w:szCs w:val="20"/>
        </w:rPr>
      </w:pPr>
      <w:r>
        <w:rPr>
          <w:rStyle w:val="Style13"/>
        </w:rPr>
        <w:footnoteRef/>
      </w:r>
      <w:r>
        <w:rPr>
          <w:sz w:val="20"/>
          <w:szCs w:val="20"/>
        </w:rPr>
        <w:t xml:space="preserve"> </w:t>
      </w:r>
      <w:r>
        <w:rPr>
          <w:sz w:val="20"/>
          <w:szCs w:val="20"/>
        </w:rPr>
        <w:t>С 2022 года в соответствии с параметрами проекта паспорта ГП РТС будет действовать наименование цели «Доведение доли автомобильных дорог регионального и межмуниципального значения, соответствующих нормативным требованиям, до 50,9 %».</w:t>
      </w:r>
    </w:p>
  </w:footnote>
  <w:footnote w:id="27">
    <w:p>
      <w:pPr>
        <w:pStyle w:val="Footnote1"/>
        <w:widowControl w:val="false"/>
        <w:jc w:val="both"/>
        <w:rPr/>
      </w:pPr>
      <w:r>
        <w:rPr>
          <w:rStyle w:val="Style13"/>
        </w:rPr>
        <w:footnoteRef/>
      </w:r>
      <w:r>
        <w:rPr/>
        <w:t xml:space="preserve"> </w:t>
      </w:r>
      <w:r>
        <w:rPr/>
        <w:t xml:space="preserve">До 2021 года в соответствии с федеральным проектом </w:t>
      </w:r>
      <w:r>
        <w:rPr>
          <w:shd w:fill="auto" w:val="clear"/>
        </w:rPr>
        <w:t xml:space="preserve">«Дорожная сеть» </w:t>
      </w:r>
      <w:r>
        <w:rPr/>
        <w:t>национального проекта «Безопасные и качественные автомобильные дороги» наименование показателя «Доля автомобильных дорог регионального  значения, соответствующих нормативным требованиям,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sz w:val="20"/>
      </w:rPr>
    </w:pPr>
    <w:r>
      <w:rPr>
        <w:sz w:val="20"/>
      </w:rPr>
      <mc:AlternateContent>
        <mc:Choice Requires="wps">
          <w:drawing>
            <wp:anchor behindDoc="1" distT="0" distB="0" distL="0" distR="0" simplePos="0" locked="0" layoutInCell="0" allowOverlap="1" relativeHeight="36">
              <wp:simplePos x="0" y="0"/>
              <wp:positionH relativeFrom="margin">
                <wp:align>center</wp:align>
              </wp:positionH>
              <wp:positionV relativeFrom="paragraph">
                <wp:posOffset>635</wp:posOffset>
              </wp:positionV>
              <wp:extent cx="922655" cy="146050"/>
              <wp:effectExtent l="0" t="0" r="0" b="0"/>
              <wp:wrapSquare wrapText="bothSides"/>
              <wp:docPr id="1" name="Врезка1"/>
              <a:graphic xmlns:a="http://schemas.openxmlformats.org/drawingml/2006/main">
                <a:graphicData uri="http://schemas.microsoft.com/office/word/2010/wordprocessingShape">
                  <wps:wsp>
                    <wps:cNvSpPr/>
                    <wps:spPr>
                      <a:xfrm>
                        <a:off x="0" y="0"/>
                        <a:ext cx="921960" cy="145440"/>
                      </a:xfrm>
                      <a:prstGeom prst="rect">
                        <a:avLst/>
                      </a:prstGeom>
                      <a:noFill/>
                      <a:ln w="0">
                        <a:noFill/>
                      </a:ln>
                    </wps:spPr>
                    <wps:style>
                      <a:lnRef idx="0"/>
                      <a:fillRef idx="0"/>
                      <a:effectRef idx="0"/>
                      <a:fontRef idx="minor"/>
                    </wps:style>
                    <wps:txbx>
                      <w:txbxContent>
                        <w:p>
                          <w:pPr>
                            <w:pStyle w:val="Normal"/>
                            <w:rPr/>
                          </w:pPr>
                          <w:r>
                            <w:rPr>
                              <w:color w:val="000000"/>
                              <w:sz w:val="20"/>
                            </w:rPr>
                            <w:fldChar w:fldCharType="begin"/>
                          </w:r>
                          <w:r>
                            <w:rPr>
                              <w:sz w:val="20"/>
                              <w:color w:val="000000"/>
                            </w:rPr>
                            <w:instrText> PAGE </w:instrText>
                          </w:r>
                          <w:r>
                            <w:rPr>
                              <w:sz w:val="20"/>
                              <w:color w:val="000000"/>
                            </w:rPr>
                            <w:fldChar w:fldCharType="separate"/>
                          </w:r>
                          <w:r>
                            <w:rPr>
                              <w:sz w:val="20"/>
                              <w:color w:val="000000"/>
                            </w:rPr>
                            <w:t>0</w:t>
                          </w:r>
                          <w:r>
                            <w:rPr>
                              <w:sz w:val="20"/>
                              <w:color w:val="000000"/>
                            </w:rPr>
                            <w:fldChar w:fldCharType="end"/>
                          </w:r>
                        </w:p>
                      </w:txbxContent>
                    </wps:txbx>
                    <wps:bodyPr lIns="0" rIns="0" tIns="0" bIns="0">
                      <a:spAutoFit/>
                    </wps:bodyPr>
                  </wps:wsp>
                </a:graphicData>
              </a:graphic>
            </wp:anchor>
          </w:drawing>
        </mc:Choice>
        <mc:Fallback>
          <w:pict>
            <v:rect id="shape_0" ID="Врезка1" path="m0,0l-2147483645,0l-2147483645,-2147483646l0,-2147483646xe" stroked="f" style="position:absolute;margin-left:342.1pt;margin-top:0.05pt;width:72.55pt;height:11.4pt;mso-wrap-style:square;v-text-anchor:top;mso-position-horizontal:center;mso-position-horizontal-relative:margin">
              <v:fill o:detectmouseclick="t" on="false"/>
              <v:stroke color="#3465a4" joinstyle="round" endcap="flat"/>
              <v:textbox>
                <w:txbxContent>
                  <w:p>
                    <w:pPr>
                      <w:pStyle w:val="Normal"/>
                      <w:rPr/>
                    </w:pPr>
                    <w:r>
                      <w:rPr>
                        <w:color w:val="000000"/>
                        <w:sz w:val="20"/>
                      </w:rPr>
                      <w:fldChar w:fldCharType="begin"/>
                    </w:r>
                    <w:r>
                      <w:rPr>
                        <w:sz w:val="20"/>
                        <w:color w:val="000000"/>
                      </w:rPr>
                      <w:instrText> PAGE </w:instrText>
                    </w:r>
                    <w:r>
                      <w:rPr>
                        <w:sz w:val="20"/>
                        <w:color w:val="000000"/>
                      </w:rPr>
                      <w:fldChar w:fldCharType="separate"/>
                    </w:r>
                    <w:r>
                      <w:rPr>
                        <w:sz w:val="20"/>
                        <w:color w:val="000000"/>
                      </w:rPr>
                      <w:t>0</w:t>
                    </w:r>
                    <w:r>
                      <w:rPr>
                        <w:sz w:val="20"/>
                        <w:color w:val="000000"/>
                      </w:rPr>
                      <w:fldChar w:fldCharType="end"/>
                    </w:r>
                  </w:p>
                </w:txbxContent>
              </v:textbox>
              <w10:wrap type="square"/>
            </v:rect>
          </w:pict>
        </mc:Fallback>
      </mc:AlternateContent>
    </w:r>
  </w:p>
  <w:p>
    <w:pPr>
      <w:pStyle w:val="Style27"/>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sz w:val="20"/>
      </w:rPr>
    </w:pPr>
    <w:r>
      <w:rPr>
        <w:sz w:val="20"/>
      </w:rPr>
      <mc:AlternateContent>
        <mc:Choice Requires="wps">
          <w:drawing>
            <wp:anchor behindDoc="1" distT="0" distB="0" distL="0" distR="0" simplePos="0" locked="0" layoutInCell="0" allowOverlap="1" relativeHeight="197">
              <wp:simplePos x="0" y="0"/>
              <wp:positionH relativeFrom="margin">
                <wp:align>center</wp:align>
              </wp:positionH>
              <wp:positionV relativeFrom="paragraph">
                <wp:posOffset>635</wp:posOffset>
              </wp:positionV>
              <wp:extent cx="922655" cy="146050"/>
              <wp:effectExtent l="0" t="0" r="0" b="0"/>
              <wp:wrapSquare wrapText="bothSides"/>
              <wp:docPr id="3" name="Врезка1_1"/>
              <a:graphic xmlns:a="http://schemas.openxmlformats.org/drawingml/2006/main">
                <a:graphicData uri="http://schemas.microsoft.com/office/word/2010/wordprocessingShape">
                  <wps:wsp>
                    <wps:cNvSpPr/>
                    <wps:spPr>
                      <a:xfrm>
                        <a:off x="0" y="0"/>
                        <a:ext cx="921960" cy="145440"/>
                      </a:xfrm>
                      <a:prstGeom prst="rect">
                        <a:avLst/>
                      </a:prstGeom>
                      <a:noFill/>
                      <a:ln w="0">
                        <a:noFill/>
                      </a:ln>
                    </wps:spPr>
                    <wps:style>
                      <a:lnRef idx="0"/>
                      <a:fillRef idx="0"/>
                      <a:effectRef idx="0"/>
                      <a:fontRef idx="minor"/>
                    </wps:style>
                    <wps:txbx>
                      <w:txbxContent>
                        <w:p>
                          <w:pPr>
                            <w:pStyle w:val="Normal"/>
                            <w:rPr/>
                          </w:pPr>
                          <w:r>
                            <w:rPr>
                              <w:color w:val="000000"/>
                              <w:sz w:val="20"/>
                            </w:rPr>
                            <w:fldChar w:fldCharType="begin"/>
                          </w:r>
                          <w:r>
                            <w:rPr>
                              <w:sz w:val="20"/>
                              <w:color w:val="000000"/>
                            </w:rPr>
                            <w:instrText> PAGE </w:instrText>
                          </w:r>
                          <w:r>
                            <w:rPr>
                              <w:sz w:val="20"/>
                              <w:color w:val="000000"/>
                            </w:rPr>
                            <w:fldChar w:fldCharType="separate"/>
                          </w:r>
                          <w:r>
                            <w:rPr>
                              <w:sz w:val="20"/>
                              <w:color w:val="000000"/>
                            </w:rPr>
                            <w:t>0</w:t>
                          </w:r>
                          <w:r>
                            <w:rPr>
                              <w:sz w:val="20"/>
                              <w:color w:val="000000"/>
                            </w:rPr>
                            <w:fldChar w:fldCharType="end"/>
                          </w:r>
                        </w:p>
                      </w:txbxContent>
                    </wps:txbx>
                    <wps:bodyPr lIns="0" rIns="0" tIns="0" bIns="0">
                      <a:spAutoFit/>
                    </wps:bodyPr>
                  </wps:wsp>
                </a:graphicData>
              </a:graphic>
            </wp:anchor>
          </w:drawing>
        </mc:Choice>
        <mc:Fallback>
          <w:pict>
            <v:rect id="shape_0" ID="Врезка1_1" path="m0,0l-2147483645,0l-2147483645,-2147483646l0,-2147483646xe" stroked="f" style="position:absolute;margin-left:342.1pt;margin-top:0.05pt;width:72.55pt;height:11.4pt;mso-wrap-style:square;v-text-anchor:top;mso-position-horizontal:center;mso-position-horizontal-relative:margin">
              <v:fill o:detectmouseclick="t" on="false"/>
              <v:stroke color="#3465a4" joinstyle="round" endcap="flat"/>
              <v:textbox>
                <w:txbxContent>
                  <w:p>
                    <w:pPr>
                      <w:pStyle w:val="Normal"/>
                      <w:rPr/>
                    </w:pPr>
                    <w:r>
                      <w:rPr>
                        <w:color w:val="000000"/>
                        <w:sz w:val="20"/>
                      </w:rPr>
                      <w:fldChar w:fldCharType="begin"/>
                    </w:r>
                    <w:r>
                      <w:rPr>
                        <w:sz w:val="20"/>
                        <w:color w:val="000000"/>
                      </w:rPr>
                      <w:instrText> PAGE </w:instrText>
                    </w:r>
                    <w:r>
                      <w:rPr>
                        <w:sz w:val="20"/>
                        <w:color w:val="000000"/>
                      </w:rPr>
                      <w:fldChar w:fldCharType="separate"/>
                    </w:r>
                    <w:r>
                      <w:rPr>
                        <w:sz w:val="20"/>
                        <w:color w:val="000000"/>
                      </w:rPr>
                      <w:t>0</w:t>
                    </w:r>
                    <w:r>
                      <w:rPr>
                        <w:sz w:val="20"/>
                        <w:color w:val="000000"/>
                      </w:rPr>
                      <w:fldChar w:fldCharType="end"/>
                    </w:r>
                  </w:p>
                </w:txbxContent>
              </v:textbox>
              <w10:wrap type="square"/>
            </v:rect>
          </w:pict>
        </mc:Fallback>
      </mc:AlternateContent>
    </w:r>
  </w:p>
  <w:p>
    <w:pPr>
      <w:pStyle w:val="Style27"/>
      <w:jc w:val="center"/>
      <w:rPr>
        <w:sz w:val="20"/>
      </w:rPr>
    </w:pPr>
    <w:r>
      <w:rPr>
        <w:sz w:val="20"/>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7"/>
      <w:jc w:val="center"/>
      <w:rPr>
        <w:sz w:val="20"/>
      </w:rPr>
    </w:pPr>
    <w:r>
      <w:rPr>
        <w:sz w:val="20"/>
      </w:rPr>
      <mc:AlternateContent>
        <mc:Choice Requires="wps">
          <w:drawing>
            <wp:anchor behindDoc="1" distT="0" distB="0" distL="0" distR="0" simplePos="0" locked="0" layoutInCell="0" allowOverlap="1" relativeHeight="195">
              <wp:simplePos x="0" y="0"/>
              <wp:positionH relativeFrom="margin">
                <wp:align>center</wp:align>
              </wp:positionH>
              <wp:positionV relativeFrom="paragraph">
                <wp:posOffset>635</wp:posOffset>
              </wp:positionV>
              <wp:extent cx="922655" cy="146050"/>
              <wp:effectExtent l="0" t="0" r="0" b="0"/>
              <wp:wrapSquare wrapText="bothSides"/>
              <wp:docPr id="5" name="Врезка1_1"/>
              <a:graphic xmlns:a="http://schemas.openxmlformats.org/drawingml/2006/main">
                <a:graphicData uri="http://schemas.microsoft.com/office/word/2010/wordprocessingShape">
                  <wps:wsp>
                    <wps:cNvSpPr/>
                    <wps:spPr>
                      <a:xfrm>
                        <a:off x="0" y="0"/>
                        <a:ext cx="921960" cy="145440"/>
                      </a:xfrm>
                      <a:prstGeom prst="rect">
                        <a:avLst/>
                      </a:prstGeom>
                      <a:noFill/>
                      <a:ln w="0">
                        <a:noFill/>
                      </a:ln>
                    </wps:spPr>
                    <wps:style>
                      <a:lnRef idx="0"/>
                      <a:fillRef idx="0"/>
                      <a:effectRef idx="0"/>
                      <a:fontRef idx="minor"/>
                    </wps:style>
                    <wps:txbx>
                      <w:txbxContent>
                        <w:p>
                          <w:pPr>
                            <w:pStyle w:val="Normal"/>
                            <w:rPr/>
                          </w:pPr>
                          <w:r>
                            <w:rPr>
                              <w:color w:val="000000"/>
                              <w:sz w:val="20"/>
                            </w:rPr>
                            <w:fldChar w:fldCharType="begin"/>
                          </w:r>
                          <w:r>
                            <w:rPr>
                              <w:sz w:val="20"/>
                              <w:color w:val="000000"/>
                            </w:rPr>
                            <w:instrText> PAGE </w:instrText>
                          </w:r>
                          <w:r>
                            <w:rPr>
                              <w:sz w:val="20"/>
                              <w:color w:val="000000"/>
                            </w:rPr>
                            <w:fldChar w:fldCharType="separate"/>
                          </w:r>
                          <w:r>
                            <w:rPr>
                              <w:sz w:val="20"/>
                              <w:color w:val="000000"/>
                            </w:rPr>
                            <w:t>0</w:t>
                          </w:r>
                          <w:r>
                            <w:rPr>
                              <w:sz w:val="20"/>
                              <w:color w:val="000000"/>
                            </w:rPr>
                            <w:fldChar w:fldCharType="end"/>
                          </w:r>
                        </w:p>
                      </w:txbxContent>
                    </wps:txbx>
                    <wps:bodyPr lIns="0" rIns="0" tIns="0" bIns="0">
                      <a:spAutoFit/>
                    </wps:bodyPr>
                  </wps:wsp>
                </a:graphicData>
              </a:graphic>
            </wp:anchor>
          </w:drawing>
        </mc:Choice>
        <mc:Fallback>
          <w:pict>
            <v:rect id="shape_0" ID="Врезка1_1" path="m0,0l-2147483645,0l-2147483645,-2147483646l0,-2147483646xe" stroked="f" style="position:absolute;margin-left:342.1pt;margin-top:0.05pt;width:72.55pt;height:11.4pt;mso-wrap-style:square;v-text-anchor:top;mso-position-horizontal:center;mso-position-horizontal-relative:margin">
              <v:fill o:detectmouseclick="t" on="false"/>
              <v:stroke color="#3465a4" joinstyle="round" endcap="flat"/>
              <v:textbox>
                <w:txbxContent>
                  <w:p>
                    <w:pPr>
                      <w:pStyle w:val="Normal"/>
                      <w:rPr/>
                    </w:pPr>
                    <w:r>
                      <w:rPr>
                        <w:color w:val="000000"/>
                        <w:sz w:val="20"/>
                      </w:rPr>
                      <w:fldChar w:fldCharType="begin"/>
                    </w:r>
                    <w:r>
                      <w:rPr>
                        <w:sz w:val="20"/>
                        <w:color w:val="000000"/>
                      </w:rPr>
                      <w:instrText> PAGE </w:instrText>
                    </w:r>
                    <w:r>
                      <w:rPr>
                        <w:sz w:val="20"/>
                        <w:color w:val="000000"/>
                      </w:rPr>
                      <w:fldChar w:fldCharType="separate"/>
                    </w:r>
                    <w:r>
                      <w:rPr>
                        <w:sz w:val="20"/>
                        <w:color w:val="000000"/>
                      </w:rPr>
                      <w:t>0</w:t>
                    </w:r>
                    <w:r>
                      <w:rPr>
                        <w:sz w:val="20"/>
                        <w:color w:val="000000"/>
                      </w:rPr>
                      <w:fldChar w:fldCharType="end"/>
                    </w:r>
                  </w:p>
                </w:txbxContent>
              </v:textbox>
              <w10:wrap type="square"/>
            </v:rect>
          </w:pict>
        </mc:Fallback>
      </mc:AlternateContent>
    </w:r>
  </w:p>
  <w:p>
    <w:pPr>
      <w:pStyle w:val="Style27"/>
      <w:jc w:val="center"/>
      <w:rPr>
        <w:sz w:val="20"/>
      </w:rPr>
    </w:pPr>
    <w:r>
      <w:rPr>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211" w:hanging="360"/>
      </w:pPr>
    </w:lvl>
    <w:lvl w:ilvl="1">
      <w:start w:val="1"/>
      <w:numFmt w:val="lowerLetter"/>
      <w:lvlText w:val="%1.%2."/>
      <w:lvlJc w:val="left"/>
      <w:pPr>
        <w:tabs>
          <w:tab w:val="num" w:pos="0"/>
        </w:tabs>
        <w:ind w:left="1931" w:hanging="360"/>
      </w:pPr>
    </w:lvl>
    <w:lvl w:ilvl="2">
      <w:start w:val="1"/>
      <w:numFmt w:val="lowerRoman"/>
      <w:lvlText w:val="%1.%2.%3."/>
      <w:lvlJc w:val="right"/>
      <w:pPr>
        <w:tabs>
          <w:tab w:val="num" w:pos="0"/>
        </w:tabs>
        <w:ind w:left="2651" w:hanging="180"/>
      </w:pPr>
    </w:lvl>
    <w:lvl w:ilvl="3">
      <w:start w:val="1"/>
      <w:numFmt w:val="decimal"/>
      <w:lvlText w:val="%1.%2.%3.%4."/>
      <w:lvlJc w:val="left"/>
      <w:pPr>
        <w:tabs>
          <w:tab w:val="num" w:pos="0"/>
        </w:tabs>
        <w:ind w:left="3371" w:hanging="360"/>
      </w:pPr>
    </w:lvl>
    <w:lvl w:ilvl="4">
      <w:start w:val="1"/>
      <w:numFmt w:val="lowerLetter"/>
      <w:lvlText w:val="%2.%3.%4.%5."/>
      <w:lvlJc w:val="left"/>
      <w:pPr>
        <w:tabs>
          <w:tab w:val="num" w:pos="0"/>
        </w:tabs>
        <w:ind w:left="4091" w:hanging="360"/>
      </w:pPr>
    </w:lvl>
    <w:lvl w:ilvl="5">
      <w:start w:val="1"/>
      <w:numFmt w:val="lowerRoman"/>
      <w:lvlText w:val="%3.%4.%5.%6."/>
      <w:lvlJc w:val="right"/>
      <w:pPr>
        <w:tabs>
          <w:tab w:val="num" w:pos="0"/>
        </w:tabs>
        <w:ind w:left="4811" w:hanging="180"/>
      </w:pPr>
    </w:lvl>
    <w:lvl w:ilvl="6">
      <w:start w:val="1"/>
      <w:numFmt w:val="decimal"/>
      <w:lvlText w:val="%4.%5.%6.%7."/>
      <w:lvlJc w:val="left"/>
      <w:pPr>
        <w:tabs>
          <w:tab w:val="num" w:pos="0"/>
        </w:tabs>
        <w:ind w:left="5531" w:hanging="360"/>
      </w:pPr>
    </w:lvl>
    <w:lvl w:ilvl="7">
      <w:start w:val="1"/>
      <w:numFmt w:val="lowerLetter"/>
      <w:lvlText w:val="%5.%6.%7.%8."/>
      <w:lvlJc w:val="left"/>
      <w:pPr>
        <w:tabs>
          <w:tab w:val="num" w:pos="0"/>
        </w:tabs>
        <w:ind w:left="6251" w:hanging="360"/>
      </w:pPr>
    </w:lvl>
    <w:lvl w:ilvl="8">
      <w:start w:val="1"/>
      <w:numFmt w:val="lowerRoman"/>
      <w:lvlText w:val="%6.%7.%8.%9."/>
      <w:lvlJc w:val="right"/>
      <w:pPr>
        <w:tabs>
          <w:tab w:val="num" w:pos="0"/>
        </w:tabs>
        <w:ind w:left="6971" w:hanging="180"/>
      </w:pPr>
    </w:lvl>
  </w:abstractNum>
  <w:abstractNum w:abstractNumId="2">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3">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5">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6">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7">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8">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9">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0">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1">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2">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3">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5">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6">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7">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8">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19">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20">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21">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22">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23">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24">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25">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1.%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3.%4.%5.%6."/>
      <w:lvlJc w:val="right"/>
      <w:pPr>
        <w:tabs>
          <w:tab w:val="num" w:pos="0"/>
        </w:tabs>
        <w:ind w:left="4320" w:hanging="180"/>
      </w:pPr>
    </w:lvl>
    <w:lvl w:ilvl="6">
      <w:start w:val="1"/>
      <w:numFmt w:val="decimal"/>
      <w:lvlText w:val="%4.%5.%6.%7."/>
      <w:lvlJc w:val="left"/>
      <w:pPr>
        <w:tabs>
          <w:tab w:val="num" w:pos="0"/>
        </w:tabs>
        <w:ind w:left="5040" w:hanging="360"/>
      </w:pPr>
    </w:lvl>
    <w:lvl w:ilvl="7">
      <w:start w:val="1"/>
      <w:numFmt w:val="lowerLetter"/>
      <w:lvlText w:val="%5.%6.%7.%8."/>
      <w:lvlJc w:val="left"/>
      <w:pPr>
        <w:tabs>
          <w:tab w:val="num" w:pos="0"/>
        </w:tabs>
        <w:ind w:left="5760" w:hanging="360"/>
      </w:pPr>
    </w:lvl>
    <w:lvl w:ilvl="8">
      <w:start w:val="1"/>
      <w:numFmt w:val="lowerRoman"/>
      <w:lvlText w:val="%6.%7.%8.%9."/>
      <w:lvlJc w:val="right"/>
      <w:pPr>
        <w:tabs>
          <w:tab w:val="num" w:pos="0"/>
        </w:tabs>
        <w:ind w:left="6480" w:hanging="180"/>
      </w:pPr>
    </w:lvl>
  </w:abstractNum>
  <w:abstractNum w:abstractNumId="26">
    <w:lvl w:ilvl="0">
      <w:start w:val="9"/>
      <w:numFmt w:val="decimal"/>
      <w:lvlText w:val="%1."/>
      <w:lvlJc w:val="left"/>
      <w:pPr>
        <w:tabs>
          <w:tab w:val="num" w:pos="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3.%4.%5.%6."/>
      <w:lvlJc w:val="left"/>
      <w:pPr>
        <w:tabs>
          <w:tab w:val="num" w:pos="2520"/>
        </w:tabs>
        <w:ind w:left="2520" w:hanging="360"/>
      </w:pPr>
    </w:lvl>
    <w:lvl w:ilvl="6">
      <w:start w:val="1"/>
      <w:numFmt w:val="decimal"/>
      <w:lvlText w:val="%4.%5.%6.%7."/>
      <w:lvlJc w:val="left"/>
      <w:pPr>
        <w:tabs>
          <w:tab w:val="num" w:pos="2880"/>
        </w:tabs>
        <w:ind w:left="2880" w:hanging="360"/>
      </w:pPr>
    </w:lvl>
    <w:lvl w:ilvl="7">
      <w:start w:val="1"/>
      <w:numFmt w:val="decimal"/>
      <w:lvlText w:val="%5.%6.%7.%8."/>
      <w:lvlJc w:val="left"/>
      <w:pPr>
        <w:tabs>
          <w:tab w:val="num" w:pos="3240"/>
        </w:tabs>
        <w:ind w:left="3240" w:hanging="360"/>
      </w:pPr>
    </w:lvl>
    <w:lvl w:ilvl="8">
      <w:start w:val="1"/>
      <w:numFmt w:val="decimal"/>
      <w:lvlText w:val="%6.%7.%8.%9."/>
      <w:lvlJc w:val="left"/>
      <w:pPr>
        <w:tabs>
          <w:tab w:val="num" w:pos="3600"/>
        </w:tabs>
        <w:ind w:left="3600" w:hanging="360"/>
      </w:pPr>
    </w:lvl>
  </w:abstractNum>
  <w:abstractNum w:abstractNumId="27">
    <w:lvl w:ilvl="0">
      <w:start w:val="14"/>
      <w:numFmt w:val="decimal"/>
      <w:lvlText w:val="%1."/>
      <w:lvlJc w:val="left"/>
      <w:pPr>
        <w:tabs>
          <w:tab w:val="num" w:pos="397"/>
        </w:tabs>
        <w:ind w:left="754" w:hanging="397"/>
      </w:pPr>
    </w:lvl>
    <w:lvl w:ilvl="1">
      <w:start w:val="1"/>
      <w:numFmt w:val="decimal"/>
      <w:lvlText w:val="%1.%2."/>
      <w:lvlJc w:val="left"/>
      <w:pPr>
        <w:tabs>
          <w:tab w:val="num" w:pos="794"/>
        </w:tabs>
        <w:ind w:left="1151" w:hanging="397"/>
      </w:pPr>
    </w:lvl>
    <w:lvl w:ilvl="2">
      <w:start w:val="1"/>
      <w:numFmt w:val="decimal"/>
      <w:lvlText w:val="%1.%2.%3."/>
      <w:lvlJc w:val="left"/>
      <w:pPr>
        <w:tabs>
          <w:tab w:val="num" w:pos="1191"/>
        </w:tabs>
        <w:ind w:left="1548" w:hanging="397"/>
      </w:pPr>
    </w:lvl>
    <w:lvl w:ilvl="3">
      <w:start w:val="1"/>
      <w:numFmt w:val="decimal"/>
      <w:lvlText w:val="%1.%2.%3.%4."/>
      <w:lvlJc w:val="left"/>
      <w:pPr>
        <w:tabs>
          <w:tab w:val="num" w:pos="1588"/>
        </w:tabs>
        <w:ind w:left="1945" w:hanging="397"/>
      </w:pPr>
    </w:lvl>
    <w:lvl w:ilvl="4">
      <w:start w:val="1"/>
      <w:numFmt w:val="decimal"/>
      <w:lvlText w:val="%2.%3.%4.%5."/>
      <w:lvlJc w:val="left"/>
      <w:pPr>
        <w:tabs>
          <w:tab w:val="num" w:pos="1985"/>
        </w:tabs>
        <w:ind w:left="2342" w:hanging="397"/>
      </w:pPr>
    </w:lvl>
    <w:lvl w:ilvl="5">
      <w:start w:val="1"/>
      <w:numFmt w:val="decimal"/>
      <w:lvlText w:val="%3.%4.%5.%6."/>
      <w:lvlJc w:val="left"/>
      <w:pPr>
        <w:tabs>
          <w:tab w:val="num" w:pos="2381"/>
        </w:tabs>
        <w:ind w:left="2738" w:hanging="397"/>
      </w:pPr>
    </w:lvl>
    <w:lvl w:ilvl="6">
      <w:start w:val="1"/>
      <w:numFmt w:val="decimal"/>
      <w:lvlText w:val="%4.%5.%6.%7."/>
      <w:lvlJc w:val="left"/>
      <w:pPr>
        <w:tabs>
          <w:tab w:val="num" w:pos="2778"/>
        </w:tabs>
        <w:ind w:left="3135" w:hanging="397"/>
      </w:pPr>
    </w:lvl>
    <w:lvl w:ilvl="7">
      <w:start w:val="1"/>
      <w:numFmt w:val="decimal"/>
      <w:lvlText w:val="%5.%6.%7.%8."/>
      <w:lvlJc w:val="left"/>
      <w:pPr>
        <w:tabs>
          <w:tab w:val="num" w:pos="3175"/>
        </w:tabs>
        <w:ind w:left="3532" w:hanging="397"/>
      </w:pPr>
    </w:lvl>
    <w:lvl w:ilvl="8">
      <w:start w:val="1"/>
      <w:numFmt w:val="decimal"/>
      <w:lvlText w:val="%6.%7.%8.%9."/>
      <w:lvlJc w:val="left"/>
      <w:pPr>
        <w:tabs>
          <w:tab w:val="num" w:pos="3572"/>
        </w:tabs>
        <w:ind w:left="3929" w:hanging="397"/>
      </w:pPr>
    </w:lvl>
  </w:abstractNum>
  <w:abstractNum w:abstractNumId="2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w="http://schemas.openxmlformats.org/wordprocessingml/2006/main">
  <w:zoom w:percent="85"/>
  <w:trackRevisions/>
  <w:defaultTabStop w:val="708"/>
  <w:autoHyphenation w:val="true"/>
  <w:footnotePr>
    <w:numFmt w:val="decimal"/>
    <w:footnote w:id="0"/>
    <w:footnote w:id="1"/>
  </w:footnotePr>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ahoma" w:cs="Droid Sans Devanagari"/>
        <w:color w:val="000000"/>
        <w:lang w:val="ru-RU" w:eastAsia="zh-CN" w:bidi="hi-IN"/>
      </w:rPr>
    </w:rPrDefault>
    <w:pPrDefault>
      <w:pPr>
        <w:suppressAutoHyphens w:val="true"/>
      </w:pPr>
    </w:pPrDefault>
  </w:docDefaults>
  <w:style w:type="paragraph" w:styleId="Normal">
    <w:name w:val="Normal"/>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00"/>
      <w:spacing w:val="0"/>
      <w:kern w:val="0"/>
      <w:sz w:val="24"/>
      <w:szCs w:val="20"/>
      <w:lang w:val="ru-RU" w:eastAsia="zh-CN" w:bidi="hi-IN"/>
    </w:rPr>
  </w:style>
  <w:style w:type="paragraph" w:styleId="1">
    <w:name w:val="Heading 1"/>
    <w:next w:val="Normal"/>
    <w:qFormat/>
    <w:pPr>
      <w:widowControl/>
      <w:suppressAutoHyphens w:val="true"/>
      <w:overflowPunct w:val="true"/>
      <w:bidi w:val="0"/>
      <w:spacing w:lineRule="auto" w:line="240" w:before="120" w:after="120"/>
      <w:ind w:left="0" w:right="0" w:hanging="0"/>
      <w:jc w:val="left"/>
      <w:outlineLvl w:val="0"/>
    </w:pPr>
    <w:rPr>
      <w:rFonts w:ascii="XO Thames" w:hAnsi="XO Thames" w:eastAsia="Tahoma" w:cs="Droid Sans Devanagari"/>
      <w:b/>
      <w:color w:val="000000"/>
      <w:spacing w:val="0"/>
      <w:kern w:val="0"/>
      <w:sz w:val="32"/>
      <w:szCs w:val="20"/>
      <w:lang w:val="ru-RU" w:eastAsia="zh-CN" w:bidi="hi-IN"/>
    </w:rPr>
  </w:style>
  <w:style w:type="paragraph" w:styleId="2">
    <w:name w:val="Heading 2"/>
    <w:next w:val="Normal"/>
    <w:qFormat/>
    <w:pPr>
      <w:widowControl/>
      <w:suppressAutoHyphens w:val="true"/>
      <w:overflowPunct w:val="true"/>
      <w:bidi w:val="0"/>
      <w:spacing w:lineRule="auto" w:line="240" w:before="120" w:after="120"/>
      <w:ind w:left="0" w:right="0" w:hanging="0"/>
      <w:jc w:val="left"/>
      <w:outlineLvl w:val="1"/>
    </w:pPr>
    <w:rPr>
      <w:rFonts w:ascii="XO Thames" w:hAnsi="XO Thames" w:eastAsia="Tahoma" w:cs="Droid Sans Devanagari"/>
      <w:b/>
      <w:color w:val="00A0FF"/>
      <w:spacing w:val="0"/>
      <w:kern w:val="0"/>
      <w:sz w:val="26"/>
      <w:szCs w:val="20"/>
      <w:lang w:val="ru-RU" w:eastAsia="zh-CN" w:bidi="hi-IN"/>
    </w:rPr>
  </w:style>
  <w:style w:type="paragraph" w:styleId="3">
    <w:name w:val="Heading 3"/>
    <w:next w:val="Normal"/>
    <w:qFormat/>
    <w:pPr>
      <w:widowControl/>
      <w:suppressAutoHyphens w:val="true"/>
      <w:overflowPunct w:val="true"/>
      <w:bidi w:val="0"/>
      <w:spacing w:lineRule="auto" w:line="240" w:before="0" w:after="0"/>
      <w:ind w:left="0" w:right="0" w:hanging="0"/>
      <w:jc w:val="left"/>
      <w:outlineLvl w:val="2"/>
    </w:pPr>
    <w:rPr>
      <w:rFonts w:ascii="XO Thames" w:hAnsi="XO Thames" w:eastAsia="Tahoma" w:cs="Droid Sans Devanagari"/>
      <w:b/>
      <w:i/>
      <w:color w:val="000000"/>
      <w:spacing w:val="0"/>
      <w:kern w:val="0"/>
      <w:sz w:val="20"/>
      <w:szCs w:val="20"/>
      <w:lang w:val="ru-RU" w:eastAsia="zh-CN" w:bidi="hi-IN"/>
    </w:rPr>
  </w:style>
  <w:style w:type="paragraph" w:styleId="4">
    <w:name w:val="Heading 4"/>
    <w:next w:val="Normal"/>
    <w:qFormat/>
    <w:pPr>
      <w:widowControl/>
      <w:suppressAutoHyphens w:val="true"/>
      <w:overflowPunct w:val="true"/>
      <w:bidi w:val="0"/>
      <w:spacing w:lineRule="auto" w:line="240" w:before="120" w:after="120"/>
      <w:ind w:left="0" w:right="0" w:hanging="0"/>
      <w:jc w:val="left"/>
      <w:outlineLvl w:val="3"/>
    </w:pPr>
    <w:rPr>
      <w:rFonts w:ascii="XO Thames" w:hAnsi="XO Thames" w:eastAsia="Tahoma" w:cs="Droid Sans Devanagari"/>
      <w:b/>
      <w:color w:val="595959"/>
      <w:spacing w:val="0"/>
      <w:kern w:val="0"/>
      <w:sz w:val="26"/>
      <w:szCs w:val="20"/>
      <w:lang w:val="ru-RU" w:eastAsia="zh-CN" w:bidi="hi-IN"/>
    </w:rPr>
  </w:style>
  <w:style w:type="paragraph" w:styleId="5">
    <w:name w:val="Heading 5"/>
    <w:next w:val="Normal"/>
    <w:qFormat/>
    <w:pPr>
      <w:widowControl/>
      <w:suppressAutoHyphens w:val="true"/>
      <w:overflowPunct w:val="true"/>
      <w:bidi w:val="0"/>
      <w:spacing w:lineRule="auto" w:line="240" w:before="120" w:after="120"/>
      <w:ind w:left="0" w:right="0" w:hanging="0"/>
      <w:jc w:val="left"/>
      <w:outlineLvl w:val="4"/>
    </w:pPr>
    <w:rPr>
      <w:rFonts w:ascii="XO Thames" w:hAnsi="XO Thames" w:eastAsia="Tahoma" w:cs="Droid Sans Devanagari"/>
      <w:b/>
      <w:color w:val="000000"/>
      <w:spacing w:val="0"/>
      <w:kern w:val="0"/>
      <w:sz w:val="22"/>
      <w:szCs w:val="20"/>
      <w:lang w:val="ru-RU" w:eastAsia="zh-CN" w:bidi="hi-IN"/>
    </w:rPr>
  </w:style>
  <w:style w:type="character" w:styleId="Xl82">
    <w:name w:val="xl82"/>
    <w:qFormat/>
    <w:rPr/>
  </w:style>
  <w:style w:type="character" w:styleId="Annotationreference">
    <w:name w:val="annotation reference"/>
    <w:qFormat/>
    <w:rPr>
      <w:sz w:val="16"/>
    </w:rPr>
  </w:style>
  <w:style w:type="character" w:styleId="Font7">
    <w:name w:val="font7"/>
    <w:qFormat/>
    <w:rPr>
      <w:color w:val="000000"/>
      <w:sz w:val="20"/>
    </w:rPr>
  </w:style>
  <w:style w:type="character" w:styleId="Xl141">
    <w:name w:val="xl141"/>
    <w:qFormat/>
    <w:rPr/>
  </w:style>
  <w:style w:type="character" w:styleId="Font17">
    <w:name w:val="font17"/>
    <w:qFormat/>
    <w:rPr>
      <w:i/>
      <w:color w:val="000000"/>
      <w:sz w:val="20"/>
    </w:rPr>
  </w:style>
  <w:style w:type="character" w:styleId="Xl136">
    <w:name w:val="xl136"/>
    <w:qFormat/>
    <w:rPr/>
  </w:style>
  <w:style w:type="character" w:styleId="Contents2">
    <w:name w:val="Contents 2"/>
    <w:qFormat/>
    <w:rPr/>
  </w:style>
  <w:style w:type="character" w:styleId="Xl137">
    <w:name w:val="xl137"/>
    <w:qFormat/>
    <w:rPr>
      <w:sz w:val="20"/>
    </w:rPr>
  </w:style>
  <w:style w:type="character" w:styleId="Xl139">
    <w:name w:val="xl139"/>
    <w:qFormat/>
    <w:rPr>
      <w:sz w:val="20"/>
    </w:rPr>
  </w:style>
  <w:style w:type="character" w:styleId="Xl140">
    <w:name w:val="xl140"/>
    <w:qFormat/>
    <w:rPr>
      <w:color w:val="FF0000"/>
    </w:rPr>
  </w:style>
  <w:style w:type="character" w:styleId="Xl152">
    <w:name w:val="xl152"/>
    <w:qFormat/>
    <w:rPr>
      <w:i/>
      <w:color w:val="FF0000"/>
      <w:sz w:val="20"/>
    </w:rPr>
  </w:style>
  <w:style w:type="character" w:styleId="Xl112">
    <w:name w:val="xl112"/>
    <w:qFormat/>
    <w:rPr>
      <w:b/>
      <w:sz w:val="20"/>
    </w:rPr>
  </w:style>
  <w:style w:type="character" w:styleId="Contents4">
    <w:name w:val="Contents 4"/>
    <w:qFormat/>
    <w:rPr/>
  </w:style>
  <w:style w:type="character" w:styleId="Xl89">
    <w:name w:val="xl89"/>
    <w:qFormat/>
    <w:rPr>
      <w:sz w:val="20"/>
    </w:rPr>
  </w:style>
  <w:style w:type="character" w:styleId="Xl128">
    <w:name w:val="xl128"/>
    <w:qFormat/>
    <w:rPr>
      <w:sz w:val="20"/>
    </w:rPr>
  </w:style>
  <w:style w:type="character" w:styleId="Xl91">
    <w:name w:val="xl91"/>
    <w:qFormat/>
    <w:rPr>
      <w:i/>
      <w:color w:val="FF0000"/>
    </w:rPr>
  </w:style>
  <w:style w:type="character" w:styleId="Contents6">
    <w:name w:val="Contents 6"/>
    <w:qFormat/>
    <w:rPr/>
  </w:style>
  <w:style w:type="character" w:styleId="DefaultParagraphFont">
    <w:name w:val="Default Paragraph Font"/>
    <w:qFormat/>
    <w:rPr/>
  </w:style>
  <w:style w:type="character" w:styleId="Contents7">
    <w:name w:val="Contents 7"/>
    <w:qFormat/>
    <w:rPr/>
  </w:style>
  <w:style w:type="character" w:styleId="Xl92">
    <w:name w:val="xl92"/>
    <w:qFormat/>
    <w:rPr>
      <w:color w:val="000000"/>
    </w:rPr>
  </w:style>
  <w:style w:type="character" w:styleId="Default">
    <w:name w:val="Default"/>
    <w:qFormat/>
    <w:rPr>
      <w:color w:val="000000"/>
      <w:sz w:val="24"/>
    </w:rPr>
  </w:style>
  <w:style w:type="character" w:styleId="Xl86">
    <w:name w:val="xl86"/>
    <w:qFormat/>
    <w:rPr>
      <w:color w:val="000000"/>
      <w:sz w:val="20"/>
    </w:rPr>
  </w:style>
  <w:style w:type="character" w:styleId="Appleconvertedspace">
    <w:name w:val="apple-converted-space"/>
    <w:qFormat/>
    <w:rPr/>
  </w:style>
  <w:style w:type="character" w:styleId="Xl111">
    <w:name w:val="xl111"/>
    <w:qFormat/>
    <w:rPr>
      <w:b/>
      <w:sz w:val="18"/>
    </w:rPr>
  </w:style>
  <w:style w:type="character" w:styleId="Xl79">
    <w:name w:val="xl79"/>
    <w:qFormat/>
    <w:rPr>
      <w:b/>
      <w:sz w:val="18"/>
    </w:rPr>
  </w:style>
  <w:style w:type="character" w:styleId="Xl65">
    <w:name w:val="xl65"/>
    <w:qFormat/>
    <w:rPr>
      <w:sz w:val="20"/>
    </w:rPr>
  </w:style>
  <w:style w:type="character" w:styleId="Xl117">
    <w:name w:val="xl117"/>
    <w:qFormat/>
    <w:rPr>
      <w:color w:val="000000"/>
    </w:rPr>
  </w:style>
  <w:style w:type="character" w:styleId="Xl119">
    <w:name w:val="xl119"/>
    <w:qFormat/>
    <w:rPr>
      <w:color w:val="000000"/>
      <w:sz w:val="20"/>
    </w:rPr>
  </w:style>
  <w:style w:type="character" w:styleId="Xl132">
    <w:name w:val="xl132"/>
    <w:qFormat/>
    <w:rPr/>
  </w:style>
  <w:style w:type="character" w:styleId="Heading3">
    <w:name w:val="Heading 3"/>
    <w:qFormat/>
    <w:rPr>
      <w:rFonts w:ascii="XO Thames" w:hAnsi="XO Thames"/>
      <w:b/>
      <w:i/>
      <w:color w:val="000000"/>
    </w:rPr>
  </w:style>
  <w:style w:type="character" w:styleId="Xl106">
    <w:name w:val="xl106"/>
    <w:qFormat/>
    <w:rPr>
      <w:color w:val="000000"/>
      <w:sz w:val="20"/>
    </w:rPr>
  </w:style>
  <w:style w:type="character" w:styleId="Xl102">
    <w:name w:val="xl102"/>
    <w:qFormat/>
    <w:rPr/>
  </w:style>
  <w:style w:type="character" w:styleId="Xl90">
    <w:name w:val="xl90"/>
    <w:qFormat/>
    <w:rPr/>
  </w:style>
  <w:style w:type="character" w:styleId="Xl94">
    <w:name w:val="xl94"/>
    <w:qFormat/>
    <w:rPr>
      <w:i/>
      <w:color w:val="FF0000"/>
    </w:rPr>
  </w:style>
  <w:style w:type="character" w:styleId="Xl74">
    <w:name w:val="xl74"/>
    <w:qFormat/>
    <w:rPr>
      <w:b/>
      <w:sz w:val="20"/>
    </w:rPr>
  </w:style>
  <w:style w:type="character" w:styleId="Style9">
    <w:name w:val="Привязка концевой сноски"/>
    <w:rPr>
      <w:vertAlign w:val="superscript"/>
    </w:rPr>
  </w:style>
  <w:style w:type="character" w:styleId="EndnoteCharacters">
    <w:name w:val="Endnote Characters"/>
    <w:qFormat/>
    <w:rPr>
      <w:vertAlign w:val="superscript"/>
    </w:rPr>
  </w:style>
  <w:style w:type="character" w:styleId="Xl109">
    <w:name w:val="xl109"/>
    <w:qFormat/>
    <w:rPr>
      <w:sz w:val="20"/>
    </w:rPr>
  </w:style>
  <w:style w:type="character" w:styleId="Font5">
    <w:name w:val="font5"/>
    <w:qFormat/>
    <w:rPr>
      <w:i/>
      <w:sz w:val="20"/>
    </w:rPr>
  </w:style>
  <w:style w:type="character" w:styleId="Xl130">
    <w:name w:val="xl130"/>
    <w:qFormat/>
    <w:rPr>
      <w:sz w:val="20"/>
    </w:rPr>
  </w:style>
  <w:style w:type="character" w:styleId="Annotationsubject">
    <w:name w:val="annotation subject"/>
    <w:basedOn w:val="Annotationtext"/>
    <w:qFormat/>
    <w:rPr>
      <w:b/>
    </w:rPr>
  </w:style>
  <w:style w:type="character" w:styleId="Xl144">
    <w:name w:val="xl144"/>
    <w:qFormat/>
    <w:rPr/>
  </w:style>
  <w:style w:type="character" w:styleId="Xl142">
    <w:name w:val="xl142"/>
    <w:qFormat/>
    <w:rPr/>
  </w:style>
  <w:style w:type="character" w:styleId="ListParagraph">
    <w:name w:val="List Paragraph"/>
    <w:qFormat/>
    <w:rPr>
      <w:sz w:val="28"/>
    </w:rPr>
  </w:style>
  <w:style w:type="character" w:styleId="Xl97">
    <w:name w:val="xl97"/>
    <w:qFormat/>
    <w:rPr>
      <w:rFonts w:ascii="Arial" w:hAnsi="Arial"/>
      <w:b/>
      <w:color w:val="333333"/>
      <w:sz w:val="23"/>
    </w:rPr>
  </w:style>
  <w:style w:type="character" w:styleId="Xl96">
    <w:name w:val="xl96"/>
    <w:qFormat/>
    <w:rPr>
      <w:rFonts w:ascii="Arial" w:hAnsi="Arial"/>
      <w:b/>
      <w:color w:val="333333"/>
      <w:sz w:val="23"/>
    </w:rPr>
  </w:style>
  <w:style w:type="character" w:styleId="Xl114">
    <w:name w:val="xl114"/>
    <w:qFormat/>
    <w:rPr/>
  </w:style>
  <w:style w:type="character" w:styleId="Font15">
    <w:name w:val="font15"/>
    <w:qFormat/>
    <w:rPr>
      <w:rFonts w:ascii="Calibri" w:hAnsi="Calibri"/>
      <w:color w:val="FF0000"/>
      <w:sz w:val="20"/>
    </w:rPr>
  </w:style>
  <w:style w:type="character" w:styleId="Xl84">
    <w:name w:val="xl84"/>
    <w:qFormat/>
    <w:rPr/>
  </w:style>
  <w:style w:type="character" w:styleId="Xl93">
    <w:name w:val="xl93"/>
    <w:qFormat/>
    <w:rPr>
      <w:i/>
      <w:color w:val="FF0000"/>
    </w:rPr>
  </w:style>
  <w:style w:type="character" w:styleId="Xl81">
    <w:name w:val="xl81"/>
    <w:qFormat/>
    <w:rPr/>
  </w:style>
  <w:style w:type="character" w:styleId="Xl76">
    <w:name w:val="xl76"/>
    <w:qFormat/>
    <w:rPr>
      <w:b/>
      <w:sz w:val="18"/>
    </w:rPr>
  </w:style>
  <w:style w:type="character" w:styleId="Annotationtext">
    <w:name w:val="annotation text"/>
    <w:qFormat/>
    <w:rPr>
      <w:sz w:val="20"/>
    </w:rPr>
  </w:style>
  <w:style w:type="character" w:styleId="Endnote">
    <w:name w:val="Endnote"/>
    <w:qFormat/>
    <w:rPr>
      <w:sz w:val="20"/>
    </w:rPr>
  </w:style>
  <w:style w:type="character" w:styleId="Xl120">
    <w:name w:val="xl120"/>
    <w:qFormat/>
    <w:rPr/>
  </w:style>
  <w:style w:type="character" w:styleId="Style10">
    <w:name w:val="Привязка сноски"/>
    <w:rPr>
      <w:vertAlign w:val="superscript"/>
    </w:rPr>
  </w:style>
  <w:style w:type="character" w:styleId="FootnoteCharacters">
    <w:name w:val="Footnote Characters"/>
    <w:qFormat/>
    <w:rPr>
      <w:vertAlign w:val="superscript"/>
    </w:rPr>
  </w:style>
  <w:style w:type="character" w:styleId="Footer">
    <w:name w:val="Footer"/>
    <w:qFormat/>
    <w:rPr/>
  </w:style>
  <w:style w:type="character" w:styleId="Contents3">
    <w:name w:val="Contents 3"/>
    <w:qFormat/>
    <w:rPr/>
  </w:style>
  <w:style w:type="character" w:styleId="Font18">
    <w:name w:val="font18"/>
    <w:qFormat/>
    <w:rPr>
      <w:rFonts w:ascii="Arial" w:hAnsi="Arial"/>
      <w:b/>
      <w:color w:val="333333"/>
      <w:sz w:val="20"/>
    </w:rPr>
  </w:style>
  <w:style w:type="character" w:styleId="Xl147">
    <w:name w:val="xl147"/>
    <w:qFormat/>
    <w:rPr>
      <w:i/>
      <w:color w:val="FF0000"/>
      <w:sz w:val="20"/>
    </w:rPr>
  </w:style>
  <w:style w:type="character" w:styleId="Xl122">
    <w:name w:val="xl122"/>
    <w:qFormat/>
    <w:rPr/>
  </w:style>
  <w:style w:type="character" w:styleId="NormalWeb">
    <w:name w:val="Normal (Web)"/>
    <w:qFormat/>
    <w:rPr/>
  </w:style>
  <w:style w:type="character" w:styleId="Font11">
    <w:name w:val="font11"/>
    <w:qFormat/>
    <w:rPr>
      <w:color w:val="000000"/>
    </w:rPr>
  </w:style>
  <w:style w:type="character" w:styleId="Font8">
    <w:name w:val="font8"/>
    <w:qFormat/>
    <w:rPr>
      <w:color w:val="000000"/>
      <w:sz w:val="20"/>
    </w:rPr>
  </w:style>
  <w:style w:type="character" w:styleId="Heading5">
    <w:name w:val="Heading 5"/>
    <w:qFormat/>
    <w:rPr>
      <w:rFonts w:ascii="XO Thames" w:hAnsi="XO Thames"/>
      <w:b/>
      <w:color w:val="000000"/>
      <w:sz w:val="22"/>
    </w:rPr>
  </w:style>
  <w:style w:type="character" w:styleId="Font6">
    <w:name w:val="font6"/>
    <w:qFormat/>
    <w:rPr>
      <w:sz w:val="20"/>
    </w:rPr>
  </w:style>
  <w:style w:type="character" w:styleId="Style11">
    <w:name w:val="Посещённая гиперссылка"/>
    <w:rPr>
      <w:color w:val="800080"/>
      <w:u w:val="single"/>
    </w:rPr>
  </w:style>
  <w:style w:type="character" w:styleId="Xl77">
    <w:name w:val="xl77"/>
    <w:qFormat/>
    <w:rPr>
      <w:b/>
      <w:sz w:val="20"/>
    </w:rPr>
  </w:style>
  <w:style w:type="character" w:styleId="Xl134">
    <w:name w:val="xl134"/>
    <w:qFormat/>
    <w:rPr>
      <w:rFonts w:ascii="Arial" w:hAnsi="Arial"/>
      <w:b/>
      <w:color w:val="333333"/>
      <w:sz w:val="23"/>
    </w:rPr>
  </w:style>
  <w:style w:type="character" w:styleId="Font12">
    <w:name w:val="font12"/>
    <w:qFormat/>
    <w:rPr>
      <w:rFonts w:ascii="Calibri" w:hAnsi="Calibri"/>
      <w:color w:val="000000"/>
      <w:sz w:val="20"/>
    </w:rPr>
  </w:style>
  <w:style w:type="character" w:styleId="Xl105">
    <w:name w:val="xl105"/>
    <w:qFormat/>
    <w:rPr/>
  </w:style>
  <w:style w:type="character" w:styleId="Heading1">
    <w:name w:val="Heading 1"/>
    <w:qFormat/>
    <w:rPr>
      <w:rFonts w:ascii="XO Thames" w:hAnsi="XO Thames"/>
      <w:b/>
      <w:sz w:val="32"/>
    </w:rPr>
  </w:style>
  <w:style w:type="character" w:styleId="Xl103">
    <w:name w:val="xl103"/>
    <w:qFormat/>
    <w:rPr/>
  </w:style>
  <w:style w:type="character" w:styleId="Header">
    <w:name w:val="Header"/>
    <w:qFormat/>
    <w:rPr/>
  </w:style>
  <w:style w:type="character" w:styleId="Xl138">
    <w:name w:val="xl138"/>
    <w:qFormat/>
    <w:rPr>
      <w:sz w:val="20"/>
    </w:rPr>
  </w:style>
  <w:style w:type="character" w:styleId="Font13">
    <w:name w:val="font13"/>
    <w:qFormat/>
    <w:rPr>
      <w:rFonts w:ascii="Arial" w:hAnsi="Arial"/>
      <w:color w:val="333333"/>
      <w:sz w:val="21"/>
    </w:rPr>
  </w:style>
  <w:style w:type="character" w:styleId="Xl124">
    <w:name w:val="xl124"/>
    <w:qFormat/>
    <w:rPr>
      <w:color w:val="FF0000"/>
    </w:rPr>
  </w:style>
  <w:style w:type="character" w:styleId="Style12">
    <w:name w:val="Интернет-ссылка"/>
    <w:rPr>
      <w:color w:val="0000FF"/>
      <w:u w:val="single"/>
    </w:rPr>
  </w:style>
  <w:style w:type="character" w:styleId="Footnote">
    <w:name w:val="Footnote"/>
    <w:qFormat/>
    <w:rPr>
      <w:sz w:val="20"/>
    </w:rPr>
  </w:style>
  <w:style w:type="character" w:styleId="Xl95">
    <w:name w:val="xl95"/>
    <w:qFormat/>
    <w:rPr>
      <w:i/>
      <w:color w:val="FF0000"/>
      <w:sz w:val="20"/>
    </w:rPr>
  </w:style>
  <w:style w:type="character" w:styleId="Contents1">
    <w:name w:val="Contents 1"/>
    <w:qFormat/>
    <w:rPr>
      <w:rFonts w:ascii="XO Thames" w:hAnsi="XO Thames"/>
      <w:b/>
    </w:rPr>
  </w:style>
  <w:style w:type="character" w:styleId="Font10">
    <w:name w:val="font10"/>
    <w:qFormat/>
    <w:rPr>
      <w:color w:val="000000"/>
    </w:rPr>
  </w:style>
  <w:style w:type="character" w:styleId="Xl85">
    <w:name w:val="xl85"/>
    <w:qFormat/>
    <w:rPr>
      <w:color w:val="000000"/>
      <w:sz w:val="20"/>
    </w:rPr>
  </w:style>
  <w:style w:type="character" w:styleId="HeaderandFooter">
    <w:name w:val="Header and Footer"/>
    <w:qFormat/>
    <w:rPr>
      <w:rFonts w:ascii="XO Thames" w:hAnsi="XO Thames"/>
      <w:sz w:val="20"/>
    </w:rPr>
  </w:style>
  <w:style w:type="character" w:styleId="Xl116">
    <w:name w:val="xl116"/>
    <w:qFormat/>
    <w:rPr>
      <w:color w:val="000000"/>
    </w:rPr>
  </w:style>
  <w:style w:type="character" w:styleId="Xl126">
    <w:name w:val="xl126"/>
    <w:qFormat/>
    <w:rPr/>
  </w:style>
  <w:style w:type="character" w:styleId="Xl66">
    <w:name w:val="xl66"/>
    <w:qFormat/>
    <w:rPr>
      <w:sz w:val="20"/>
    </w:rPr>
  </w:style>
  <w:style w:type="character" w:styleId="Xl146">
    <w:name w:val="xl146"/>
    <w:qFormat/>
    <w:rPr>
      <w:sz w:val="20"/>
    </w:rPr>
  </w:style>
  <w:style w:type="character" w:styleId="ConsPlusCell">
    <w:name w:val="ConsPlusCell"/>
    <w:qFormat/>
    <w:rPr>
      <w:rFonts w:ascii="Calibri" w:hAnsi="Calibri"/>
      <w:sz w:val="22"/>
    </w:rPr>
  </w:style>
  <w:style w:type="character" w:styleId="Xl148">
    <w:name w:val="xl148"/>
    <w:qFormat/>
    <w:rPr>
      <w:b/>
      <w:sz w:val="20"/>
    </w:rPr>
  </w:style>
  <w:style w:type="character" w:styleId="Contents9">
    <w:name w:val="Contents 9"/>
    <w:qFormat/>
    <w:rPr/>
  </w:style>
  <w:style w:type="character" w:styleId="21">
    <w:name w:val="Основной текст2"/>
    <w:qFormat/>
    <w:rPr>
      <w:sz w:val="26"/>
    </w:rPr>
  </w:style>
  <w:style w:type="character" w:styleId="85pt">
    <w:name w:val="Основной текст + 8;5 pt;Полужирный"/>
    <w:qFormat/>
    <w:rPr>
      <w:rFonts w:ascii="Times New Roman" w:hAnsi="Times New Roman"/>
      <w:b/>
      <w:color w:val="000000"/>
      <w:spacing w:val="0"/>
      <w:sz w:val="17"/>
      <w:u w:val="none"/>
    </w:rPr>
  </w:style>
  <w:style w:type="character" w:styleId="Xl127">
    <w:name w:val="xl127"/>
    <w:qFormat/>
    <w:rPr/>
  </w:style>
  <w:style w:type="character" w:styleId="Xl113">
    <w:name w:val="xl113"/>
    <w:qFormat/>
    <w:rPr>
      <w:b/>
      <w:sz w:val="18"/>
    </w:rPr>
  </w:style>
  <w:style w:type="character" w:styleId="Xl99">
    <w:name w:val="xl99"/>
    <w:qFormat/>
    <w:rPr/>
  </w:style>
  <w:style w:type="character" w:styleId="Xl67">
    <w:name w:val="xl67"/>
    <w:qFormat/>
    <w:rPr/>
  </w:style>
  <w:style w:type="character" w:styleId="Xl70">
    <w:name w:val="xl70"/>
    <w:qFormat/>
    <w:rPr>
      <w:b/>
      <w:color w:val="FF0000"/>
      <w:sz w:val="20"/>
    </w:rPr>
  </w:style>
  <w:style w:type="character" w:styleId="Font16">
    <w:name w:val="font16"/>
    <w:qFormat/>
    <w:rPr>
      <w:rFonts w:ascii="Arial" w:hAnsi="Arial"/>
      <w:color w:val="333333"/>
      <w:sz w:val="20"/>
    </w:rPr>
  </w:style>
  <w:style w:type="character" w:styleId="Contents8">
    <w:name w:val="Contents 8"/>
    <w:qFormat/>
    <w:rPr/>
  </w:style>
  <w:style w:type="character" w:styleId="Xl73">
    <w:name w:val="xl73"/>
    <w:qFormat/>
    <w:rPr>
      <w:sz w:val="20"/>
    </w:rPr>
  </w:style>
  <w:style w:type="character" w:styleId="ConsPlusNormal">
    <w:name w:val="ConsPlusNormal"/>
    <w:qFormat/>
    <w:rPr>
      <w:rFonts w:ascii="Calibri" w:hAnsi="Calibri"/>
      <w:sz w:val="22"/>
    </w:rPr>
  </w:style>
  <w:style w:type="character" w:styleId="Xl123">
    <w:name w:val="xl123"/>
    <w:qFormat/>
    <w:rPr/>
  </w:style>
  <w:style w:type="character" w:styleId="Font19">
    <w:name w:val="font19"/>
    <w:qFormat/>
    <w:rPr>
      <w:rFonts w:ascii="Calibri" w:hAnsi="Calibri"/>
      <w:color w:val="000000"/>
    </w:rPr>
  </w:style>
  <w:style w:type="character" w:styleId="Xl83">
    <w:name w:val="xl83"/>
    <w:qFormat/>
    <w:rPr/>
  </w:style>
  <w:style w:type="character" w:styleId="Xl115">
    <w:name w:val="xl115"/>
    <w:qFormat/>
    <w:rPr/>
  </w:style>
  <w:style w:type="character" w:styleId="Xl108">
    <w:name w:val="xl108"/>
    <w:qFormat/>
    <w:rPr>
      <w:rFonts w:ascii="Arial" w:hAnsi="Arial"/>
      <w:color w:val="333333"/>
      <w:sz w:val="20"/>
    </w:rPr>
  </w:style>
  <w:style w:type="character" w:styleId="Xl98">
    <w:name w:val="xl98"/>
    <w:qFormat/>
    <w:rPr/>
  </w:style>
  <w:style w:type="character" w:styleId="Xl118">
    <w:name w:val="xl118"/>
    <w:qFormat/>
    <w:rPr>
      <w:color w:val="000000"/>
    </w:rPr>
  </w:style>
  <w:style w:type="character" w:styleId="Xl69">
    <w:name w:val="xl69"/>
    <w:qFormat/>
    <w:rPr>
      <w:sz w:val="20"/>
    </w:rPr>
  </w:style>
  <w:style w:type="character" w:styleId="Xl88">
    <w:name w:val="xl88"/>
    <w:qFormat/>
    <w:rPr>
      <w:i/>
      <w:sz w:val="20"/>
    </w:rPr>
  </w:style>
  <w:style w:type="character" w:styleId="BalloonText">
    <w:name w:val="Balloon Text"/>
    <w:qFormat/>
    <w:rPr>
      <w:rFonts w:ascii="Tahoma" w:hAnsi="Tahoma"/>
      <w:sz w:val="16"/>
    </w:rPr>
  </w:style>
  <w:style w:type="character" w:styleId="Xl104">
    <w:name w:val="xl104"/>
    <w:qFormat/>
    <w:rPr>
      <w:color w:val="000000"/>
    </w:rPr>
  </w:style>
  <w:style w:type="character" w:styleId="Xl101">
    <w:name w:val="xl101"/>
    <w:qFormat/>
    <w:rPr/>
  </w:style>
  <w:style w:type="character" w:styleId="BodyTextIndent3">
    <w:name w:val="Body Text Indent 3"/>
    <w:qFormat/>
    <w:rPr/>
  </w:style>
  <w:style w:type="character" w:styleId="Font9">
    <w:name w:val="font9"/>
    <w:qFormat/>
    <w:rPr>
      <w:color w:val="FF0000"/>
      <w:sz w:val="20"/>
    </w:rPr>
  </w:style>
  <w:style w:type="character" w:styleId="Contents5">
    <w:name w:val="Contents 5"/>
    <w:qFormat/>
    <w:rPr/>
  </w:style>
  <w:style w:type="character" w:styleId="Xl72">
    <w:name w:val="xl72"/>
    <w:qFormat/>
    <w:rPr>
      <w:i/>
      <w:sz w:val="20"/>
    </w:rPr>
  </w:style>
  <w:style w:type="character" w:styleId="Xl133">
    <w:name w:val="xl133"/>
    <w:qFormat/>
    <w:rPr>
      <w:color w:val="FF0000"/>
    </w:rPr>
  </w:style>
  <w:style w:type="character" w:styleId="Xl151">
    <w:name w:val="xl151"/>
    <w:qFormat/>
    <w:rPr>
      <w:sz w:val="20"/>
    </w:rPr>
  </w:style>
  <w:style w:type="character" w:styleId="Xl100">
    <w:name w:val="xl100"/>
    <w:qFormat/>
    <w:rPr>
      <w:color w:val="000000"/>
      <w:sz w:val="20"/>
    </w:rPr>
  </w:style>
  <w:style w:type="character" w:styleId="Xl68">
    <w:name w:val="xl68"/>
    <w:qFormat/>
    <w:rPr>
      <w:sz w:val="20"/>
    </w:rPr>
  </w:style>
  <w:style w:type="character" w:styleId="Xl131">
    <w:name w:val="xl131"/>
    <w:qFormat/>
    <w:rPr>
      <w:sz w:val="20"/>
    </w:rPr>
  </w:style>
  <w:style w:type="character" w:styleId="Xl107">
    <w:name w:val="xl107"/>
    <w:qFormat/>
    <w:rPr>
      <w:sz w:val="20"/>
    </w:rPr>
  </w:style>
  <w:style w:type="character" w:styleId="Xl110">
    <w:name w:val="xl110"/>
    <w:qFormat/>
    <w:rPr>
      <w:b/>
      <w:sz w:val="20"/>
    </w:rPr>
  </w:style>
  <w:style w:type="character" w:styleId="Xl80">
    <w:name w:val="xl80"/>
    <w:qFormat/>
    <w:rPr>
      <w:rFonts w:ascii="Arial" w:hAnsi="Arial"/>
      <w:color w:val="333333"/>
      <w:sz w:val="23"/>
    </w:rPr>
  </w:style>
  <w:style w:type="character" w:styleId="Strong">
    <w:name w:val="Strong"/>
    <w:qFormat/>
    <w:rPr>
      <w:b/>
    </w:rPr>
  </w:style>
  <w:style w:type="character" w:styleId="Xl149">
    <w:name w:val="xl149"/>
    <w:qFormat/>
    <w:rPr>
      <w:i/>
      <w:color w:val="FF0000"/>
      <w:sz w:val="20"/>
    </w:rPr>
  </w:style>
  <w:style w:type="character" w:styleId="Xl71">
    <w:name w:val="xl71"/>
    <w:qFormat/>
    <w:rPr>
      <w:i/>
      <w:sz w:val="20"/>
    </w:rPr>
  </w:style>
  <w:style w:type="character" w:styleId="Xl150">
    <w:name w:val="xl150"/>
    <w:qFormat/>
    <w:rPr>
      <w:color w:val="333333"/>
    </w:rPr>
  </w:style>
  <w:style w:type="character" w:styleId="Xl87">
    <w:name w:val="xl87"/>
    <w:qFormat/>
    <w:rPr>
      <w:rFonts w:ascii="Arial" w:hAnsi="Arial"/>
      <w:color w:val="333333"/>
      <w:sz w:val="21"/>
    </w:rPr>
  </w:style>
  <w:style w:type="character" w:styleId="Subtitle">
    <w:name w:val="Subtitle"/>
    <w:qFormat/>
    <w:rPr>
      <w:rFonts w:ascii="XO Thames" w:hAnsi="XO Thames"/>
      <w:i/>
      <w:color w:val="616161"/>
      <w:sz w:val="24"/>
    </w:rPr>
  </w:style>
  <w:style w:type="character" w:styleId="Xl145">
    <w:name w:val="xl145"/>
    <w:qFormat/>
    <w:rPr/>
  </w:style>
  <w:style w:type="character" w:styleId="Toc10">
    <w:name w:val="toc 10"/>
    <w:qFormat/>
    <w:rPr/>
  </w:style>
  <w:style w:type="character" w:styleId="Xl129">
    <w:name w:val="xl129"/>
    <w:qFormat/>
    <w:rPr>
      <w:rFonts w:ascii="Arial" w:hAnsi="Arial"/>
      <w:color w:val="333333"/>
      <w:sz w:val="20"/>
    </w:rPr>
  </w:style>
  <w:style w:type="character" w:styleId="Title">
    <w:name w:val="Title"/>
    <w:qFormat/>
    <w:rPr>
      <w:rFonts w:ascii="XO Thames" w:hAnsi="XO Thames"/>
      <w:b/>
      <w:sz w:val="52"/>
    </w:rPr>
  </w:style>
  <w:style w:type="character" w:styleId="Xl125">
    <w:name w:val="xl125"/>
    <w:qFormat/>
    <w:rPr/>
  </w:style>
  <w:style w:type="character" w:styleId="Xl135">
    <w:name w:val="xl135"/>
    <w:qFormat/>
    <w:rPr>
      <w:rFonts w:ascii="Arial" w:hAnsi="Arial"/>
      <w:b/>
      <w:color w:val="333333"/>
      <w:sz w:val="23"/>
    </w:rPr>
  </w:style>
  <w:style w:type="character" w:styleId="Heading4">
    <w:name w:val="Heading 4"/>
    <w:qFormat/>
    <w:rPr>
      <w:rFonts w:ascii="XO Thames" w:hAnsi="XO Thames"/>
      <w:b/>
      <w:color w:val="595959"/>
      <w:sz w:val="26"/>
    </w:rPr>
  </w:style>
  <w:style w:type="character" w:styleId="Xl143">
    <w:name w:val="xl143"/>
    <w:qFormat/>
    <w:rPr/>
  </w:style>
  <w:style w:type="character" w:styleId="Xl75">
    <w:name w:val="xl75"/>
    <w:qFormat/>
    <w:rPr>
      <w:b/>
      <w:sz w:val="20"/>
    </w:rPr>
  </w:style>
  <w:style w:type="character" w:styleId="11">
    <w:name w:val="Обычный1"/>
    <w:qFormat/>
    <w:rPr>
      <w:rFonts w:ascii="Calibri" w:hAnsi="Calibri"/>
      <w:color w:val="000000"/>
      <w:sz w:val="22"/>
    </w:rPr>
  </w:style>
  <w:style w:type="character" w:styleId="Heading2">
    <w:name w:val="Heading 2"/>
    <w:qFormat/>
    <w:rPr>
      <w:rFonts w:ascii="XO Thames" w:hAnsi="XO Thames"/>
      <w:b/>
      <w:color w:val="00A0FF"/>
      <w:sz w:val="26"/>
    </w:rPr>
  </w:style>
  <w:style w:type="character" w:styleId="Xl78">
    <w:name w:val="xl78"/>
    <w:qFormat/>
    <w:rPr>
      <w:b/>
      <w:sz w:val="18"/>
    </w:rPr>
  </w:style>
  <w:style w:type="character" w:styleId="Font14">
    <w:name w:val="font14"/>
    <w:qFormat/>
    <w:rPr>
      <w:i/>
      <w:color w:val="000000"/>
      <w:sz w:val="20"/>
    </w:rPr>
  </w:style>
  <w:style w:type="character" w:styleId="Xl121">
    <w:name w:val="xl121"/>
    <w:qFormat/>
    <w:rPr/>
  </w:style>
  <w:style w:type="character" w:styleId="Style13">
    <w:name w:val="Символ сноски"/>
    <w:qFormat/>
    <w:rPr/>
  </w:style>
  <w:style w:type="character" w:styleId="Style14">
    <w:name w:val="Символ концевой сноски"/>
    <w:qFormat/>
    <w:rPr/>
  </w:style>
  <w:style w:type="character" w:styleId="Style15">
    <w:name w:val="Маркеры"/>
    <w:qFormat/>
    <w:rPr>
      <w:rFonts w:ascii="OpenSymbol" w:hAnsi="OpenSymbol" w:eastAsia="OpenSymbol" w:cs="OpenSymbol"/>
    </w:rPr>
  </w:style>
  <w:style w:type="character" w:styleId="Style16">
    <w:name w:val="Символ нумерации"/>
    <w:qFormat/>
    <w:rPr/>
  </w:style>
  <w:style w:type="character" w:styleId="Style17">
    <w:name w:val="Нумерация строк"/>
    <w:rPr/>
  </w:style>
  <w:style w:type="character" w:styleId="WW8Num38z0">
    <w:name w:val="WW8Num38z0"/>
    <w:qFormat/>
    <w:rPr/>
  </w:style>
  <w:style w:type="character" w:styleId="WW8Num38z1">
    <w:name w:val="WW8Num38z1"/>
    <w:qFormat/>
    <w:rPr/>
  </w:style>
  <w:style w:type="character" w:styleId="WW8Num38z2">
    <w:name w:val="WW8Num38z2"/>
    <w:qFormat/>
    <w:rPr/>
  </w:style>
  <w:style w:type="character" w:styleId="WW8Num38z3">
    <w:name w:val="WW8Num38z3"/>
    <w:qFormat/>
    <w:rPr/>
  </w:style>
  <w:style w:type="character" w:styleId="WW8Num38z4">
    <w:name w:val="WW8Num38z4"/>
    <w:qFormat/>
    <w:rPr/>
  </w:style>
  <w:style w:type="character" w:styleId="WW8Num38z5">
    <w:name w:val="WW8Num38z5"/>
    <w:qFormat/>
    <w:rPr/>
  </w:style>
  <w:style w:type="character" w:styleId="WW8Num38z6">
    <w:name w:val="WW8Num38z6"/>
    <w:qFormat/>
    <w:rPr/>
  </w:style>
  <w:style w:type="character" w:styleId="WW8Num38z7">
    <w:name w:val="WW8Num38z7"/>
    <w:qFormat/>
    <w:rPr/>
  </w:style>
  <w:style w:type="character" w:styleId="WW8Num38z8">
    <w:name w:val="WW8Num38z8"/>
    <w:qFormat/>
    <w:rPr/>
  </w:style>
  <w:style w:type="character" w:styleId="WW8Num20z0">
    <w:name w:val="WW8Num20z0"/>
    <w:qFormat/>
    <w:rPr>
      <w:b/>
      <w:color w:val="000000"/>
      <w:sz w:val="20"/>
      <w:szCs w:val="20"/>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paragraph" w:styleId="Style18">
    <w:name w:val="Заголовок"/>
    <w:basedOn w:val="Normal"/>
    <w:next w:val="Style19"/>
    <w:qFormat/>
    <w:pPr>
      <w:keepNext w:val="true"/>
      <w:spacing w:before="240" w:after="120"/>
    </w:pPr>
    <w:rPr>
      <w:rFonts w:ascii="Liberation Sans" w:hAnsi="Liberation Sans" w:eastAsia="Tahoma" w:cs="Droid Sans Devanagari"/>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Droid Sans Devanagari"/>
    </w:rPr>
  </w:style>
  <w:style w:type="paragraph" w:styleId="Style21">
    <w:name w:val="Caption"/>
    <w:basedOn w:val="Normal"/>
    <w:qFormat/>
    <w:pPr>
      <w:suppressLineNumbers/>
      <w:spacing w:before="120" w:after="120"/>
    </w:pPr>
    <w:rPr>
      <w:rFonts w:cs="Droid Sans Devanagari"/>
      <w:i/>
      <w:iCs/>
      <w:sz w:val="24"/>
      <w:szCs w:val="24"/>
    </w:rPr>
  </w:style>
  <w:style w:type="paragraph" w:styleId="Style22">
    <w:name w:val="Указатель"/>
    <w:basedOn w:val="Normal"/>
    <w:qFormat/>
    <w:pPr>
      <w:suppressLineNumbers/>
    </w:pPr>
    <w:rPr>
      <w:rFonts w:cs="Droid Sans Devanagari"/>
    </w:rPr>
  </w:style>
  <w:style w:type="paragraph" w:styleId="Xl821">
    <w:name w:val="xl82"/>
    <w:basedOn w:val="Normal"/>
    <w:qFormat/>
    <w:pPr>
      <w:spacing w:before="280" w:after="280"/>
    </w:pPr>
    <w:rPr/>
  </w:style>
  <w:style w:type="paragraph" w:styleId="Annotationreference1">
    <w:name w:val="annotation reference"/>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00"/>
      <w:spacing w:val="0"/>
      <w:kern w:val="0"/>
      <w:sz w:val="16"/>
      <w:szCs w:val="20"/>
      <w:lang w:val="ru-RU" w:eastAsia="zh-CN" w:bidi="hi-IN"/>
    </w:rPr>
  </w:style>
  <w:style w:type="paragraph" w:styleId="Font71">
    <w:name w:val="font7"/>
    <w:basedOn w:val="Normal"/>
    <w:qFormat/>
    <w:pPr>
      <w:spacing w:before="280" w:after="280"/>
    </w:pPr>
    <w:rPr>
      <w:color w:val="000000"/>
      <w:sz w:val="20"/>
    </w:rPr>
  </w:style>
  <w:style w:type="paragraph" w:styleId="Xl1411">
    <w:name w:val="xl141"/>
    <w:basedOn w:val="Normal"/>
    <w:qFormat/>
    <w:pPr>
      <w:spacing w:before="280" w:after="280"/>
      <w:jc w:val="center"/>
    </w:pPr>
    <w:rPr/>
  </w:style>
  <w:style w:type="paragraph" w:styleId="Font171">
    <w:name w:val="font17"/>
    <w:basedOn w:val="Normal"/>
    <w:qFormat/>
    <w:pPr>
      <w:spacing w:before="280" w:after="280"/>
    </w:pPr>
    <w:rPr>
      <w:i/>
      <w:color w:val="000000"/>
      <w:sz w:val="20"/>
    </w:rPr>
  </w:style>
  <w:style w:type="paragraph" w:styleId="Xl1361">
    <w:name w:val="xl136"/>
    <w:basedOn w:val="Normal"/>
    <w:qFormat/>
    <w:pPr>
      <w:spacing w:before="280" w:after="280"/>
    </w:pPr>
    <w:rPr/>
  </w:style>
  <w:style w:type="paragraph" w:styleId="22">
    <w:name w:val="TOC 2"/>
    <w:next w:val="Normal"/>
    <w:pPr>
      <w:widowControl/>
      <w:suppressAutoHyphens w:val="true"/>
      <w:overflowPunct w:val="true"/>
      <w:bidi w:val="0"/>
      <w:spacing w:lineRule="auto" w:line="240" w:before="0" w:after="0"/>
      <w:ind w:left="2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Xl1371">
    <w:name w:val="xl137"/>
    <w:basedOn w:val="Normal"/>
    <w:qFormat/>
    <w:pPr>
      <w:spacing w:before="280" w:after="280"/>
    </w:pPr>
    <w:rPr>
      <w:sz w:val="20"/>
    </w:rPr>
  </w:style>
  <w:style w:type="paragraph" w:styleId="Xl1391">
    <w:name w:val="xl139"/>
    <w:basedOn w:val="Normal"/>
    <w:qFormat/>
    <w:pPr>
      <w:spacing w:before="280" w:after="280"/>
      <w:jc w:val="both"/>
    </w:pPr>
    <w:rPr>
      <w:sz w:val="20"/>
    </w:rPr>
  </w:style>
  <w:style w:type="paragraph" w:styleId="Xl1401">
    <w:name w:val="xl140"/>
    <w:basedOn w:val="Normal"/>
    <w:qFormat/>
    <w:pPr>
      <w:spacing w:before="280" w:after="280"/>
    </w:pPr>
    <w:rPr>
      <w:color w:val="FF0000"/>
    </w:rPr>
  </w:style>
  <w:style w:type="paragraph" w:styleId="Xl1521">
    <w:name w:val="xl152"/>
    <w:basedOn w:val="Normal"/>
    <w:qFormat/>
    <w:pPr>
      <w:spacing w:before="280" w:after="280"/>
    </w:pPr>
    <w:rPr>
      <w:i/>
      <w:color w:val="FF0000"/>
      <w:sz w:val="20"/>
    </w:rPr>
  </w:style>
  <w:style w:type="paragraph" w:styleId="Xl1121">
    <w:name w:val="xl112"/>
    <w:basedOn w:val="Normal"/>
    <w:qFormat/>
    <w:pPr>
      <w:spacing w:before="280" w:after="280"/>
    </w:pPr>
    <w:rPr>
      <w:b/>
      <w:sz w:val="20"/>
    </w:rPr>
  </w:style>
  <w:style w:type="paragraph" w:styleId="41">
    <w:name w:val="TOC 4"/>
    <w:next w:val="Normal"/>
    <w:pPr>
      <w:widowControl/>
      <w:suppressAutoHyphens w:val="true"/>
      <w:overflowPunct w:val="true"/>
      <w:bidi w:val="0"/>
      <w:spacing w:lineRule="auto" w:line="240" w:before="0" w:after="0"/>
      <w:ind w:left="6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Xl891">
    <w:name w:val="xl89"/>
    <w:basedOn w:val="Normal"/>
    <w:qFormat/>
    <w:pPr>
      <w:spacing w:before="280" w:after="280"/>
    </w:pPr>
    <w:rPr>
      <w:sz w:val="20"/>
    </w:rPr>
  </w:style>
  <w:style w:type="paragraph" w:styleId="Xl1281">
    <w:name w:val="xl128"/>
    <w:basedOn w:val="Normal"/>
    <w:qFormat/>
    <w:pPr>
      <w:spacing w:before="280" w:after="280"/>
    </w:pPr>
    <w:rPr>
      <w:sz w:val="20"/>
    </w:rPr>
  </w:style>
  <w:style w:type="paragraph" w:styleId="Xl911">
    <w:name w:val="xl91"/>
    <w:basedOn w:val="Normal"/>
    <w:qFormat/>
    <w:pPr>
      <w:spacing w:before="280" w:after="280"/>
    </w:pPr>
    <w:rPr>
      <w:i/>
      <w:color w:val="FF0000"/>
    </w:rPr>
  </w:style>
  <w:style w:type="paragraph" w:styleId="6">
    <w:name w:val="TOC 6"/>
    <w:next w:val="Normal"/>
    <w:pPr>
      <w:widowControl/>
      <w:suppressAutoHyphens w:val="true"/>
      <w:overflowPunct w:val="true"/>
      <w:bidi w:val="0"/>
      <w:spacing w:lineRule="auto" w:line="240" w:before="0" w:after="0"/>
      <w:ind w:left="10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DefaultParagraphFont1">
    <w:name w:val="Default Paragraph Font"/>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7">
    <w:name w:val="TOC 7"/>
    <w:next w:val="Normal"/>
    <w:pPr>
      <w:widowControl/>
      <w:suppressAutoHyphens w:val="true"/>
      <w:overflowPunct w:val="true"/>
      <w:bidi w:val="0"/>
      <w:spacing w:lineRule="auto" w:line="240" w:before="0" w:after="0"/>
      <w:ind w:left="12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Xl921">
    <w:name w:val="xl92"/>
    <w:basedOn w:val="Normal"/>
    <w:qFormat/>
    <w:pPr>
      <w:spacing w:before="280" w:after="280"/>
    </w:pPr>
    <w:rPr>
      <w:color w:val="000000"/>
    </w:rPr>
  </w:style>
  <w:style w:type="paragraph" w:styleId="Default1">
    <w:name w:val="Default"/>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00"/>
      <w:spacing w:val="0"/>
      <w:kern w:val="0"/>
      <w:sz w:val="24"/>
      <w:szCs w:val="20"/>
      <w:lang w:val="ru-RU" w:eastAsia="zh-CN" w:bidi="hi-IN"/>
    </w:rPr>
  </w:style>
  <w:style w:type="paragraph" w:styleId="Xl861">
    <w:name w:val="xl86"/>
    <w:basedOn w:val="Normal"/>
    <w:qFormat/>
    <w:pPr>
      <w:spacing w:before="280" w:after="280"/>
      <w:jc w:val="both"/>
    </w:pPr>
    <w:rPr>
      <w:color w:val="000000"/>
      <w:sz w:val="20"/>
    </w:rPr>
  </w:style>
  <w:style w:type="paragraph" w:styleId="Appleconvertedspace1">
    <w:name w:val="apple-converted-space"/>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Xl1111">
    <w:name w:val="xl111"/>
    <w:basedOn w:val="Normal"/>
    <w:qFormat/>
    <w:pPr>
      <w:spacing w:before="280" w:after="280"/>
      <w:jc w:val="both"/>
    </w:pPr>
    <w:rPr>
      <w:b/>
      <w:sz w:val="18"/>
    </w:rPr>
  </w:style>
  <w:style w:type="paragraph" w:styleId="Xl791">
    <w:name w:val="xl79"/>
    <w:basedOn w:val="Normal"/>
    <w:qFormat/>
    <w:pPr>
      <w:spacing w:before="280" w:after="280"/>
    </w:pPr>
    <w:rPr>
      <w:b/>
      <w:sz w:val="18"/>
    </w:rPr>
  </w:style>
  <w:style w:type="paragraph" w:styleId="Xl651">
    <w:name w:val="xl65"/>
    <w:basedOn w:val="Normal"/>
    <w:qFormat/>
    <w:pPr>
      <w:spacing w:before="280" w:after="280"/>
    </w:pPr>
    <w:rPr>
      <w:sz w:val="20"/>
    </w:rPr>
  </w:style>
  <w:style w:type="paragraph" w:styleId="Xl1171">
    <w:name w:val="xl117"/>
    <w:basedOn w:val="Normal"/>
    <w:qFormat/>
    <w:pPr>
      <w:spacing w:before="280" w:after="280"/>
    </w:pPr>
    <w:rPr>
      <w:color w:val="000000"/>
    </w:rPr>
  </w:style>
  <w:style w:type="paragraph" w:styleId="Xl1191">
    <w:name w:val="xl119"/>
    <w:basedOn w:val="Normal"/>
    <w:qFormat/>
    <w:pPr>
      <w:spacing w:before="280" w:after="280"/>
    </w:pPr>
    <w:rPr>
      <w:color w:val="000000"/>
      <w:sz w:val="20"/>
    </w:rPr>
  </w:style>
  <w:style w:type="paragraph" w:styleId="Xl1321">
    <w:name w:val="xl132"/>
    <w:basedOn w:val="Normal"/>
    <w:qFormat/>
    <w:pPr>
      <w:spacing w:before="280" w:after="280"/>
    </w:pPr>
    <w:rPr/>
  </w:style>
  <w:style w:type="paragraph" w:styleId="Xl1061">
    <w:name w:val="xl106"/>
    <w:basedOn w:val="Normal"/>
    <w:qFormat/>
    <w:pPr>
      <w:spacing w:before="280" w:after="280"/>
    </w:pPr>
    <w:rPr>
      <w:color w:val="000000"/>
      <w:sz w:val="20"/>
    </w:rPr>
  </w:style>
  <w:style w:type="paragraph" w:styleId="Xl1021">
    <w:name w:val="xl102"/>
    <w:basedOn w:val="Normal"/>
    <w:qFormat/>
    <w:pPr>
      <w:spacing w:before="280" w:after="280"/>
    </w:pPr>
    <w:rPr/>
  </w:style>
  <w:style w:type="paragraph" w:styleId="Xl901">
    <w:name w:val="xl90"/>
    <w:basedOn w:val="Normal"/>
    <w:qFormat/>
    <w:pPr>
      <w:spacing w:before="280" w:after="280"/>
    </w:pPr>
    <w:rPr/>
  </w:style>
  <w:style w:type="paragraph" w:styleId="Xl941">
    <w:name w:val="xl94"/>
    <w:basedOn w:val="Normal"/>
    <w:qFormat/>
    <w:pPr>
      <w:spacing w:before="280" w:after="280"/>
    </w:pPr>
    <w:rPr>
      <w:i/>
      <w:color w:val="FF0000"/>
    </w:rPr>
  </w:style>
  <w:style w:type="paragraph" w:styleId="Xl741">
    <w:name w:val="xl74"/>
    <w:basedOn w:val="Normal"/>
    <w:qFormat/>
    <w:pPr>
      <w:spacing w:before="280" w:after="280"/>
    </w:pPr>
    <w:rPr>
      <w:b/>
      <w:sz w:val="20"/>
    </w:rPr>
  </w:style>
  <w:style w:type="paragraph" w:styleId="EndnoteCharacters1">
    <w:name w:val="Endnote Characters"/>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00"/>
      <w:spacing w:val="0"/>
      <w:kern w:val="0"/>
      <w:sz w:val="20"/>
      <w:szCs w:val="20"/>
      <w:vertAlign w:val="superscript"/>
      <w:lang w:val="ru-RU" w:eastAsia="zh-CN" w:bidi="hi-IN"/>
    </w:rPr>
  </w:style>
  <w:style w:type="paragraph" w:styleId="Xl1091">
    <w:name w:val="xl109"/>
    <w:basedOn w:val="Normal"/>
    <w:qFormat/>
    <w:pPr>
      <w:spacing w:before="280" w:after="280"/>
    </w:pPr>
    <w:rPr>
      <w:sz w:val="20"/>
    </w:rPr>
  </w:style>
  <w:style w:type="paragraph" w:styleId="Font51">
    <w:name w:val="font5"/>
    <w:basedOn w:val="Normal"/>
    <w:qFormat/>
    <w:pPr>
      <w:spacing w:before="280" w:after="280"/>
    </w:pPr>
    <w:rPr>
      <w:i/>
      <w:sz w:val="20"/>
    </w:rPr>
  </w:style>
  <w:style w:type="paragraph" w:styleId="Xl1301">
    <w:name w:val="xl130"/>
    <w:basedOn w:val="Normal"/>
    <w:qFormat/>
    <w:pPr>
      <w:spacing w:before="280" w:after="280"/>
      <w:jc w:val="both"/>
    </w:pPr>
    <w:rPr>
      <w:sz w:val="20"/>
    </w:rPr>
  </w:style>
  <w:style w:type="paragraph" w:styleId="Annotationsubject1">
    <w:name w:val="annotation subject"/>
    <w:basedOn w:val="Annotationtext1"/>
    <w:next w:val="Annotationtext1"/>
    <w:qFormat/>
    <w:pPr/>
    <w:rPr>
      <w:b/>
    </w:rPr>
  </w:style>
  <w:style w:type="paragraph" w:styleId="Xl1441">
    <w:name w:val="xl144"/>
    <w:basedOn w:val="Normal"/>
    <w:qFormat/>
    <w:pPr>
      <w:spacing w:before="280" w:after="280"/>
    </w:pPr>
    <w:rPr/>
  </w:style>
  <w:style w:type="paragraph" w:styleId="Xl1421">
    <w:name w:val="xl142"/>
    <w:basedOn w:val="Normal"/>
    <w:qFormat/>
    <w:pPr>
      <w:spacing w:before="280" w:after="280"/>
      <w:jc w:val="center"/>
    </w:pPr>
    <w:rPr/>
  </w:style>
  <w:style w:type="paragraph" w:styleId="ListParagraph1">
    <w:name w:val="List Paragraph"/>
    <w:basedOn w:val="Normal"/>
    <w:qFormat/>
    <w:pPr>
      <w:spacing w:lineRule="auto" w:line="276" w:before="0" w:after="200"/>
      <w:ind w:left="720" w:right="0" w:hanging="0"/>
      <w:contextualSpacing/>
    </w:pPr>
    <w:rPr>
      <w:sz w:val="28"/>
    </w:rPr>
  </w:style>
  <w:style w:type="paragraph" w:styleId="Xl971">
    <w:name w:val="xl97"/>
    <w:basedOn w:val="Normal"/>
    <w:qFormat/>
    <w:pPr>
      <w:spacing w:before="280" w:after="280"/>
    </w:pPr>
    <w:rPr>
      <w:rFonts w:ascii="Arial" w:hAnsi="Arial"/>
      <w:b/>
      <w:color w:val="333333"/>
      <w:sz w:val="23"/>
    </w:rPr>
  </w:style>
  <w:style w:type="paragraph" w:styleId="Xl961">
    <w:name w:val="xl96"/>
    <w:basedOn w:val="Normal"/>
    <w:qFormat/>
    <w:pPr>
      <w:spacing w:before="280" w:after="280"/>
      <w:jc w:val="center"/>
    </w:pPr>
    <w:rPr>
      <w:rFonts w:ascii="Arial" w:hAnsi="Arial"/>
      <w:b/>
      <w:color w:val="333333"/>
      <w:sz w:val="23"/>
    </w:rPr>
  </w:style>
  <w:style w:type="paragraph" w:styleId="Xl1141">
    <w:name w:val="xl114"/>
    <w:basedOn w:val="Normal"/>
    <w:qFormat/>
    <w:pPr>
      <w:spacing w:before="280" w:after="280"/>
      <w:jc w:val="center"/>
    </w:pPr>
    <w:rPr/>
  </w:style>
  <w:style w:type="paragraph" w:styleId="Font151">
    <w:name w:val="font15"/>
    <w:basedOn w:val="Normal"/>
    <w:qFormat/>
    <w:pPr>
      <w:spacing w:before="280" w:after="280"/>
    </w:pPr>
    <w:rPr>
      <w:rFonts w:ascii="Calibri" w:hAnsi="Calibri"/>
      <w:color w:val="FF0000"/>
      <w:sz w:val="20"/>
    </w:rPr>
  </w:style>
  <w:style w:type="paragraph" w:styleId="Xl841">
    <w:name w:val="xl84"/>
    <w:basedOn w:val="Normal"/>
    <w:qFormat/>
    <w:pPr>
      <w:spacing w:before="280" w:after="280"/>
    </w:pPr>
    <w:rPr/>
  </w:style>
  <w:style w:type="paragraph" w:styleId="Xl931">
    <w:name w:val="xl93"/>
    <w:basedOn w:val="Normal"/>
    <w:qFormat/>
    <w:pPr>
      <w:spacing w:before="280" w:after="280"/>
    </w:pPr>
    <w:rPr>
      <w:i/>
      <w:color w:val="FF0000"/>
    </w:rPr>
  </w:style>
  <w:style w:type="paragraph" w:styleId="Xl811">
    <w:name w:val="xl81"/>
    <w:basedOn w:val="Normal"/>
    <w:qFormat/>
    <w:pPr>
      <w:spacing w:before="280" w:after="280"/>
    </w:pPr>
    <w:rPr/>
  </w:style>
  <w:style w:type="paragraph" w:styleId="Xl761">
    <w:name w:val="xl76"/>
    <w:basedOn w:val="Normal"/>
    <w:qFormat/>
    <w:pPr>
      <w:spacing w:before="280" w:after="280"/>
      <w:jc w:val="both"/>
    </w:pPr>
    <w:rPr>
      <w:b/>
      <w:sz w:val="18"/>
    </w:rPr>
  </w:style>
  <w:style w:type="paragraph" w:styleId="Annotationtext1">
    <w:name w:val="annotation text"/>
    <w:basedOn w:val="Normal"/>
    <w:qFormat/>
    <w:pPr/>
    <w:rPr>
      <w:sz w:val="20"/>
    </w:rPr>
  </w:style>
  <w:style w:type="paragraph" w:styleId="Style23">
    <w:name w:val="Endnote Text"/>
    <w:basedOn w:val="Normal"/>
    <w:pPr/>
    <w:rPr>
      <w:sz w:val="20"/>
    </w:rPr>
  </w:style>
  <w:style w:type="paragraph" w:styleId="Xl1201">
    <w:name w:val="xl120"/>
    <w:basedOn w:val="Normal"/>
    <w:qFormat/>
    <w:pPr>
      <w:spacing w:before="280" w:after="280"/>
    </w:pPr>
    <w:rPr/>
  </w:style>
  <w:style w:type="paragraph" w:styleId="FootnoteCharacters1">
    <w:name w:val="Footnote Characters"/>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00"/>
      <w:spacing w:val="0"/>
      <w:kern w:val="0"/>
      <w:sz w:val="20"/>
      <w:szCs w:val="20"/>
      <w:vertAlign w:val="superscript"/>
      <w:lang w:val="ru-RU" w:eastAsia="zh-CN" w:bidi="hi-IN"/>
    </w:rPr>
  </w:style>
  <w:style w:type="paragraph" w:styleId="Style24">
    <w:name w:val="Верхний и нижний колонтитулы"/>
    <w:qFormat/>
    <w:pPr>
      <w:widowControl/>
      <w:suppressAutoHyphens w:val="true"/>
      <w:overflowPunct w:val="true"/>
      <w:bidi w:val="0"/>
      <w:spacing w:lineRule="auto" w:line="360" w:before="0" w:after="0"/>
      <w:ind w:left="0" w:right="0" w:hanging="0"/>
      <w:jc w:val="left"/>
    </w:pPr>
    <w:rPr>
      <w:rFonts w:ascii="XO Thames" w:hAnsi="XO Thames" w:eastAsia="Tahoma" w:cs="Droid Sans Devanagari"/>
      <w:color w:val="000000"/>
      <w:spacing w:val="0"/>
      <w:kern w:val="0"/>
      <w:sz w:val="20"/>
      <w:szCs w:val="20"/>
      <w:lang w:val="ru-RU" w:eastAsia="zh-CN" w:bidi="hi-IN"/>
    </w:rPr>
  </w:style>
  <w:style w:type="paragraph" w:styleId="Style25">
    <w:name w:val="Колонтитул"/>
    <w:basedOn w:val="Normal"/>
    <w:qFormat/>
    <w:pPr/>
    <w:rPr/>
  </w:style>
  <w:style w:type="paragraph" w:styleId="Style26">
    <w:name w:val="Footer"/>
    <w:basedOn w:val="Normal"/>
    <w:pPr>
      <w:tabs>
        <w:tab w:val="clear" w:pos="708"/>
        <w:tab w:val="center" w:pos="4677" w:leader="none"/>
        <w:tab w:val="right" w:pos="9355" w:leader="none"/>
      </w:tabs>
    </w:pPr>
    <w:rPr/>
  </w:style>
  <w:style w:type="paragraph" w:styleId="31">
    <w:name w:val="TOC 3"/>
    <w:next w:val="Normal"/>
    <w:pPr>
      <w:widowControl/>
      <w:suppressAutoHyphens w:val="true"/>
      <w:overflowPunct w:val="true"/>
      <w:bidi w:val="0"/>
      <w:spacing w:lineRule="auto" w:line="240" w:before="0" w:after="0"/>
      <w:ind w:left="4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Font181">
    <w:name w:val="font18"/>
    <w:basedOn w:val="Normal"/>
    <w:qFormat/>
    <w:pPr>
      <w:spacing w:before="280" w:after="280"/>
    </w:pPr>
    <w:rPr>
      <w:rFonts w:ascii="Arial" w:hAnsi="Arial"/>
      <w:b/>
      <w:color w:val="333333"/>
      <w:sz w:val="20"/>
    </w:rPr>
  </w:style>
  <w:style w:type="paragraph" w:styleId="Xl1471">
    <w:name w:val="xl147"/>
    <w:basedOn w:val="Normal"/>
    <w:qFormat/>
    <w:pPr>
      <w:spacing w:before="280" w:after="280"/>
    </w:pPr>
    <w:rPr>
      <w:i/>
      <w:color w:val="FF0000"/>
      <w:sz w:val="20"/>
    </w:rPr>
  </w:style>
  <w:style w:type="paragraph" w:styleId="Xl1221">
    <w:name w:val="xl122"/>
    <w:basedOn w:val="Normal"/>
    <w:qFormat/>
    <w:pPr>
      <w:spacing w:before="280" w:after="280"/>
      <w:jc w:val="center"/>
    </w:pPr>
    <w:rPr/>
  </w:style>
  <w:style w:type="paragraph" w:styleId="NormalWeb1">
    <w:name w:val="Normal (Web)"/>
    <w:basedOn w:val="Normal"/>
    <w:qFormat/>
    <w:pPr>
      <w:spacing w:before="280" w:after="280"/>
    </w:pPr>
    <w:rPr/>
  </w:style>
  <w:style w:type="paragraph" w:styleId="Font111">
    <w:name w:val="font11"/>
    <w:basedOn w:val="Normal"/>
    <w:qFormat/>
    <w:pPr>
      <w:spacing w:before="280" w:after="280"/>
    </w:pPr>
    <w:rPr>
      <w:color w:val="000000"/>
    </w:rPr>
  </w:style>
  <w:style w:type="paragraph" w:styleId="Font81">
    <w:name w:val="font8"/>
    <w:basedOn w:val="Normal"/>
    <w:qFormat/>
    <w:pPr>
      <w:spacing w:before="280" w:after="280"/>
    </w:pPr>
    <w:rPr>
      <w:color w:val="000000"/>
      <w:sz w:val="20"/>
    </w:rPr>
  </w:style>
  <w:style w:type="paragraph" w:styleId="Font61">
    <w:name w:val="font6"/>
    <w:basedOn w:val="Normal"/>
    <w:qFormat/>
    <w:pPr>
      <w:spacing w:before="280" w:after="280"/>
    </w:pPr>
    <w:rPr>
      <w:sz w:val="20"/>
    </w:rPr>
  </w:style>
  <w:style w:type="paragraph" w:styleId="VisitedInternetLink">
    <w:name w:val="FollowedHyperlink"/>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800080"/>
      <w:spacing w:val="0"/>
      <w:kern w:val="0"/>
      <w:sz w:val="20"/>
      <w:szCs w:val="20"/>
      <w:u w:val="single"/>
      <w:lang w:val="ru-RU" w:eastAsia="zh-CN" w:bidi="hi-IN"/>
    </w:rPr>
  </w:style>
  <w:style w:type="paragraph" w:styleId="Xl771">
    <w:name w:val="xl77"/>
    <w:basedOn w:val="Normal"/>
    <w:qFormat/>
    <w:pPr>
      <w:spacing w:before="280" w:after="280"/>
    </w:pPr>
    <w:rPr>
      <w:b/>
      <w:sz w:val="20"/>
    </w:rPr>
  </w:style>
  <w:style w:type="paragraph" w:styleId="Xl1341">
    <w:name w:val="xl134"/>
    <w:basedOn w:val="Normal"/>
    <w:qFormat/>
    <w:pPr>
      <w:spacing w:before="280" w:after="280"/>
      <w:jc w:val="center"/>
    </w:pPr>
    <w:rPr>
      <w:rFonts w:ascii="Arial" w:hAnsi="Arial"/>
      <w:b/>
      <w:color w:val="333333"/>
      <w:sz w:val="23"/>
    </w:rPr>
  </w:style>
  <w:style w:type="paragraph" w:styleId="Font121">
    <w:name w:val="font12"/>
    <w:basedOn w:val="Normal"/>
    <w:qFormat/>
    <w:pPr>
      <w:spacing w:before="280" w:after="280"/>
    </w:pPr>
    <w:rPr>
      <w:rFonts w:ascii="Calibri" w:hAnsi="Calibri"/>
      <w:color w:val="000000"/>
      <w:sz w:val="20"/>
    </w:rPr>
  </w:style>
  <w:style w:type="paragraph" w:styleId="Xl1051">
    <w:name w:val="xl105"/>
    <w:basedOn w:val="Normal"/>
    <w:qFormat/>
    <w:pPr>
      <w:spacing w:before="280" w:after="280"/>
      <w:jc w:val="center"/>
    </w:pPr>
    <w:rPr/>
  </w:style>
  <w:style w:type="paragraph" w:styleId="Xl1031">
    <w:name w:val="xl103"/>
    <w:basedOn w:val="Normal"/>
    <w:qFormat/>
    <w:pPr>
      <w:spacing w:before="280" w:after="280"/>
    </w:pPr>
    <w:rPr/>
  </w:style>
  <w:style w:type="paragraph" w:styleId="Style27">
    <w:name w:val="Header"/>
    <w:basedOn w:val="Normal"/>
    <w:pPr>
      <w:tabs>
        <w:tab w:val="clear" w:pos="708"/>
        <w:tab w:val="center" w:pos="4677" w:leader="none"/>
        <w:tab w:val="right" w:pos="9355" w:leader="none"/>
      </w:tabs>
    </w:pPr>
    <w:rPr/>
  </w:style>
  <w:style w:type="paragraph" w:styleId="Xl1381">
    <w:name w:val="xl138"/>
    <w:basedOn w:val="Normal"/>
    <w:qFormat/>
    <w:pPr>
      <w:spacing w:before="280" w:after="280"/>
    </w:pPr>
    <w:rPr>
      <w:sz w:val="20"/>
    </w:rPr>
  </w:style>
  <w:style w:type="paragraph" w:styleId="Font131">
    <w:name w:val="font13"/>
    <w:basedOn w:val="Normal"/>
    <w:qFormat/>
    <w:pPr>
      <w:spacing w:before="280" w:after="280"/>
    </w:pPr>
    <w:rPr>
      <w:rFonts w:ascii="Arial" w:hAnsi="Arial"/>
      <w:color w:val="333333"/>
      <w:sz w:val="21"/>
    </w:rPr>
  </w:style>
  <w:style w:type="paragraph" w:styleId="Xl1241">
    <w:name w:val="xl124"/>
    <w:basedOn w:val="Normal"/>
    <w:qFormat/>
    <w:pPr>
      <w:spacing w:before="280" w:after="280"/>
    </w:pPr>
    <w:rPr>
      <w:color w:val="FF0000"/>
    </w:rPr>
  </w:style>
  <w:style w:type="paragraph" w:styleId="Internetlink">
    <w:name w:val="Hyperlink"/>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color w:val="0000FF"/>
      <w:spacing w:val="0"/>
      <w:kern w:val="0"/>
      <w:sz w:val="20"/>
      <w:szCs w:val="20"/>
      <w:u w:val="single"/>
      <w:lang w:val="ru-RU" w:eastAsia="zh-CN" w:bidi="hi-IN"/>
    </w:rPr>
  </w:style>
  <w:style w:type="paragraph" w:styleId="Footnote1">
    <w:name w:val="Footnote"/>
    <w:basedOn w:val="Normal"/>
    <w:qFormat/>
    <w:pPr/>
    <w:rPr>
      <w:sz w:val="20"/>
    </w:rPr>
  </w:style>
  <w:style w:type="paragraph" w:styleId="Xl951">
    <w:name w:val="xl95"/>
    <w:basedOn w:val="Normal"/>
    <w:qFormat/>
    <w:pPr>
      <w:spacing w:before="280" w:after="280"/>
    </w:pPr>
    <w:rPr>
      <w:i/>
      <w:color w:val="FF0000"/>
      <w:sz w:val="20"/>
    </w:rPr>
  </w:style>
  <w:style w:type="paragraph" w:styleId="12">
    <w:name w:val="TOC 1"/>
    <w:next w:val="Normal"/>
    <w:pPr>
      <w:widowControl/>
      <w:suppressAutoHyphens w:val="true"/>
      <w:overflowPunct w:val="true"/>
      <w:bidi w:val="0"/>
      <w:spacing w:lineRule="auto" w:line="240" w:before="0" w:after="0"/>
      <w:ind w:left="0" w:right="0" w:hanging="0"/>
      <w:jc w:val="left"/>
    </w:pPr>
    <w:rPr>
      <w:rFonts w:ascii="XO Thames" w:hAnsi="XO Thames" w:eastAsia="Tahoma" w:cs="Droid Sans Devanagari"/>
      <w:b/>
      <w:color w:val="000000"/>
      <w:spacing w:val="0"/>
      <w:kern w:val="0"/>
      <w:sz w:val="20"/>
      <w:szCs w:val="20"/>
      <w:lang w:val="ru-RU" w:eastAsia="zh-CN" w:bidi="hi-IN"/>
    </w:rPr>
  </w:style>
  <w:style w:type="paragraph" w:styleId="Font101">
    <w:name w:val="font10"/>
    <w:basedOn w:val="Normal"/>
    <w:qFormat/>
    <w:pPr>
      <w:spacing w:before="280" w:after="280"/>
    </w:pPr>
    <w:rPr>
      <w:color w:val="000000"/>
    </w:rPr>
  </w:style>
  <w:style w:type="paragraph" w:styleId="Xl851">
    <w:name w:val="xl85"/>
    <w:basedOn w:val="Normal"/>
    <w:qFormat/>
    <w:pPr>
      <w:spacing w:before="280" w:after="280"/>
    </w:pPr>
    <w:rPr>
      <w:color w:val="000000"/>
      <w:sz w:val="20"/>
    </w:rPr>
  </w:style>
  <w:style w:type="paragraph" w:styleId="Xl1161">
    <w:name w:val="xl116"/>
    <w:basedOn w:val="Normal"/>
    <w:qFormat/>
    <w:pPr>
      <w:spacing w:before="280" w:after="280"/>
      <w:jc w:val="center"/>
    </w:pPr>
    <w:rPr>
      <w:color w:val="000000"/>
    </w:rPr>
  </w:style>
  <w:style w:type="paragraph" w:styleId="Xl1261">
    <w:name w:val="xl126"/>
    <w:basedOn w:val="Normal"/>
    <w:qFormat/>
    <w:pPr>
      <w:spacing w:before="280" w:after="280"/>
    </w:pPr>
    <w:rPr/>
  </w:style>
  <w:style w:type="paragraph" w:styleId="Xl661">
    <w:name w:val="xl66"/>
    <w:basedOn w:val="Normal"/>
    <w:qFormat/>
    <w:pPr>
      <w:spacing w:before="280" w:after="280"/>
    </w:pPr>
    <w:rPr>
      <w:sz w:val="20"/>
    </w:rPr>
  </w:style>
  <w:style w:type="paragraph" w:styleId="Xl1461">
    <w:name w:val="xl146"/>
    <w:basedOn w:val="Normal"/>
    <w:qFormat/>
    <w:pPr>
      <w:spacing w:before="280" w:after="280"/>
      <w:jc w:val="both"/>
    </w:pPr>
    <w:rPr>
      <w:sz w:val="20"/>
    </w:rPr>
  </w:style>
  <w:style w:type="paragraph" w:styleId="ConsPlusCell1">
    <w:name w:val="ConsPlusCell"/>
    <w:qFormat/>
    <w:pPr>
      <w:widowControl w:val="false"/>
      <w:suppressAutoHyphens w:val="true"/>
      <w:overflowPunct w:val="true"/>
      <w:bidi w:val="0"/>
      <w:spacing w:lineRule="auto" w:line="240" w:before="0" w:after="0"/>
      <w:ind w:left="0" w:right="0" w:hanging="0"/>
      <w:jc w:val="left"/>
    </w:pPr>
    <w:rPr>
      <w:rFonts w:ascii="Calibri" w:hAnsi="Calibri" w:eastAsia="Tahoma" w:cs="Droid Sans Devanagari"/>
      <w:color w:val="000000"/>
      <w:spacing w:val="0"/>
      <w:kern w:val="0"/>
      <w:sz w:val="22"/>
      <w:szCs w:val="20"/>
      <w:lang w:val="ru-RU" w:eastAsia="zh-CN" w:bidi="hi-IN"/>
    </w:rPr>
  </w:style>
  <w:style w:type="paragraph" w:styleId="Xl1481">
    <w:name w:val="xl148"/>
    <w:basedOn w:val="Normal"/>
    <w:qFormat/>
    <w:pPr>
      <w:spacing w:before="280" w:after="280"/>
    </w:pPr>
    <w:rPr>
      <w:b/>
      <w:sz w:val="20"/>
    </w:rPr>
  </w:style>
  <w:style w:type="paragraph" w:styleId="9">
    <w:name w:val="TOC 9"/>
    <w:next w:val="Normal"/>
    <w:pPr>
      <w:widowControl/>
      <w:suppressAutoHyphens w:val="true"/>
      <w:overflowPunct w:val="true"/>
      <w:bidi w:val="0"/>
      <w:spacing w:lineRule="auto" w:line="240" w:before="0" w:after="0"/>
      <w:ind w:left="16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23">
    <w:name w:val="Основной текст2"/>
    <w:basedOn w:val="Normal"/>
    <w:qFormat/>
    <w:pPr>
      <w:widowControl w:val="false"/>
      <w:spacing w:lineRule="exact" w:line="314"/>
      <w:jc w:val="center"/>
    </w:pPr>
    <w:rPr>
      <w:sz w:val="26"/>
    </w:rPr>
  </w:style>
  <w:style w:type="paragraph" w:styleId="85pt1">
    <w:name w:val="Основной текст + 8;5 pt;Полужирный"/>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b/>
      <w:color w:val="000000"/>
      <w:spacing w:val="0"/>
      <w:kern w:val="0"/>
      <w:sz w:val="17"/>
      <w:szCs w:val="20"/>
      <w:u w:val="none"/>
      <w:lang w:val="ru-RU" w:eastAsia="zh-CN" w:bidi="hi-IN"/>
    </w:rPr>
  </w:style>
  <w:style w:type="paragraph" w:styleId="Xl1271">
    <w:name w:val="xl127"/>
    <w:basedOn w:val="Normal"/>
    <w:qFormat/>
    <w:pPr>
      <w:spacing w:before="280" w:after="280"/>
    </w:pPr>
    <w:rPr/>
  </w:style>
  <w:style w:type="paragraph" w:styleId="Xl1131">
    <w:name w:val="xl113"/>
    <w:basedOn w:val="Normal"/>
    <w:qFormat/>
    <w:pPr>
      <w:spacing w:before="280" w:after="280"/>
      <w:jc w:val="both"/>
    </w:pPr>
    <w:rPr>
      <w:b/>
      <w:sz w:val="18"/>
    </w:rPr>
  </w:style>
  <w:style w:type="paragraph" w:styleId="Xl991">
    <w:name w:val="xl99"/>
    <w:basedOn w:val="Normal"/>
    <w:qFormat/>
    <w:pPr>
      <w:spacing w:before="280" w:after="280"/>
    </w:pPr>
    <w:rPr/>
  </w:style>
  <w:style w:type="paragraph" w:styleId="Xl671">
    <w:name w:val="xl67"/>
    <w:basedOn w:val="Normal"/>
    <w:qFormat/>
    <w:pPr>
      <w:spacing w:before="280" w:after="280"/>
    </w:pPr>
    <w:rPr/>
  </w:style>
  <w:style w:type="paragraph" w:styleId="Xl701">
    <w:name w:val="xl70"/>
    <w:basedOn w:val="Normal"/>
    <w:qFormat/>
    <w:pPr>
      <w:spacing w:before="280" w:after="280"/>
    </w:pPr>
    <w:rPr>
      <w:b/>
      <w:color w:val="FF0000"/>
      <w:sz w:val="20"/>
    </w:rPr>
  </w:style>
  <w:style w:type="paragraph" w:styleId="Font161">
    <w:name w:val="font16"/>
    <w:basedOn w:val="Normal"/>
    <w:qFormat/>
    <w:pPr>
      <w:spacing w:before="280" w:after="280"/>
    </w:pPr>
    <w:rPr>
      <w:rFonts w:ascii="Arial" w:hAnsi="Arial"/>
      <w:color w:val="333333"/>
      <w:sz w:val="20"/>
    </w:rPr>
  </w:style>
  <w:style w:type="paragraph" w:styleId="8">
    <w:name w:val="TOC 8"/>
    <w:next w:val="Normal"/>
    <w:pPr>
      <w:widowControl/>
      <w:suppressAutoHyphens w:val="true"/>
      <w:overflowPunct w:val="true"/>
      <w:bidi w:val="0"/>
      <w:spacing w:lineRule="auto" w:line="240" w:before="0" w:after="0"/>
      <w:ind w:left="14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Xl731">
    <w:name w:val="xl73"/>
    <w:basedOn w:val="Normal"/>
    <w:qFormat/>
    <w:pPr>
      <w:spacing w:before="280" w:after="280"/>
    </w:pPr>
    <w:rPr>
      <w:sz w:val="20"/>
    </w:rPr>
  </w:style>
  <w:style w:type="paragraph" w:styleId="ConsPlusNormal1">
    <w:name w:val="ConsPlusNormal"/>
    <w:qFormat/>
    <w:pPr>
      <w:widowControl w:val="false"/>
      <w:suppressAutoHyphens w:val="true"/>
      <w:overflowPunct w:val="true"/>
      <w:bidi w:val="0"/>
      <w:spacing w:lineRule="auto" w:line="240" w:before="0" w:after="0"/>
      <w:ind w:left="0" w:right="0" w:hanging="0"/>
      <w:jc w:val="left"/>
    </w:pPr>
    <w:rPr>
      <w:rFonts w:ascii="Calibri" w:hAnsi="Calibri" w:eastAsia="Tahoma" w:cs="Droid Sans Devanagari"/>
      <w:color w:val="000000"/>
      <w:spacing w:val="0"/>
      <w:kern w:val="0"/>
      <w:sz w:val="22"/>
      <w:szCs w:val="20"/>
      <w:lang w:val="ru-RU" w:eastAsia="zh-CN" w:bidi="hi-IN"/>
    </w:rPr>
  </w:style>
  <w:style w:type="paragraph" w:styleId="Xl1231">
    <w:name w:val="xl123"/>
    <w:basedOn w:val="Normal"/>
    <w:qFormat/>
    <w:pPr>
      <w:spacing w:before="280" w:after="280"/>
      <w:jc w:val="both"/>
    </w:pPr>
    <w:rPr/>
  </w:style>
  <w:style w:type="paragraph" w:styleId="Font191">
    <w:name w:val="font19"/>
    <w:basedOn w:val="Normal"/>
    <w:qFormat/>
    <w:pPr>
      <w:spacing w:before="280" w:after="280"/>
    </w:pPr>
    <w:rPr>
      <w:rFonts w:ascii="Calibri" w:hAnsi="Calibri"/>
      <w:color w:val="000000"/>
    </w:rPr>
  </w:style>
  <w:style w:type="paragraph" w:styleId="Xl831">
    <w:name w:val="xl83"/>
    <w:basedOn w:val="Normal"/>
    <w:qFormat/>
    <w:pPr>
      <w:spacing w:before="280" w:after="280"/>
    </w:pPr>
    <w:rPr/>
  </w:style>
  <w:style w:type="paragraph" w:styleId="Xl1151">
    <w:name w:val="xl115"/>
    <w:basedOn w:val="Normal"/>
    <w:qFormat/>
    <w:pPr>
      <w:spacing w:before="280" w:after="280"/>
    </w:pPr>
    <w:rPr/>
  </w:style>
  <w:style w:type="paragraph" w:styleId="Xl1081">
    <w:name w:val="xl108"/>
    <w:basedOn w:val="Normal"/>
    <w:qFormat/>
    <w:pPr>
      <w:spacing w:before="280" w:after="280"/>
    </w:pPr>
    <w:rPr>
      <w:rFonts w:ascii="Arial" w:hAnsi="Arial"/>
      <w:color w:val="333333"/>
      <w:sz w:val="20"/>
    </w:rPr>
  </w:style>
  <w:style w:type="paragraph" w:styleId="Xl981">
    <w:name w:val="xl98"/>
    <w:basedOn w:val="Normal"/>
    <w:qFormat/>
    <w:pPr>
      <w:spacing w:before="280" w:after="280"/>
    </w:pPr>
    <w:rPr/>
  </w:style>
  <w:style w:type="paragraph" w:styleId="Xl1181">
    <w:name w:val="xl118"/>
    <w:basedOn w:val="Normal"/>
    <w:qFormat/>
    <w:pPr>
      <w:spacing w:before="280" w:after="280"/>
    </w:pPr>
    <w:rPr>
      <w:color w:val="000000"/>
    </w:rPr>
  </w:style>
  <w:style w:type="paragraph" w:styleId="Xl691">
    <w:name w:val="xl69"/>
    <w:basedOn w:val="Normal"/>
    <w:qFormat/>
    <w:pPr>
      <w:spacing w:before="280" w:after="280"/>
      <w:jc w:val="both"/>
    </w:pPr>
    <w:rPr>
      <w:sz w:val="20"/>
    </w:rPr>
  </w:style>
  <w:style w:type="paragraph" w:styleId="Xl881">
    <w:name w:val="xl88"/>
    <w:basedOn w:val="Normal"/>
    <w:qFormat/>
    <w:pPr>
      <w:spacing w:before="280" w:after="280"/>
    </w:pPr>
    <w:rPr>
      <w:i/>
      <w:sz w:val="20"/>
    </w:rPr>
  </w:style>
  <w:style w:type="paragraph" w:styleId="BalloonText1">
    <w:name w:val="Balloon Text"/>
    <w:basedOn w:val="Normal"/>
    <w:qFormat/>
    <w:pPr/>
    <w:rPr>
      <w:rFonts w:ascii="Tahoma" w:hAnsi="Tahoma"/>
      <w:sz w:val="16"/>
    </w:rPr>
  </w:style>
  <w:style w:type="paragraph" w:styleId="Xl1041">
    <w:name w:val="xl104"/>
    <w:basedOn w:val="Normal"/>
    <w:qFormat/>
    <w:pPr>
      <w:spacing w:before="280" w:after="280"/>
      <w:jc w:val="center"/>
    </w:pPr>
    <w:rPr>
      <w:color w:val="000000"/>
    </w:rPr>
  </w:style>
  <w:style w:type="paragraph" w:styleId="Xl1011">
    <w:name w:val="xl101"/>
    <w:basedOn w:val="Normal"/>
    <w:qFormat/>
    <w:pPr>
      <w:spacing w:before="280" w:after="280"/>
      <w:jc w:val="center"/>
    </w:pPr>
    <w:rPr/>
  </w:style>
  <w:style w:type="paragraph" w:styleId="BodyTextIndent31">
    <w:name w:val="Body Text Indent 3"/>
    <w:basedOn w:val="Normal"/>
    <w:qFormat/>
    <w:pPr>
      <w:spacing w:lineRule="auto" w:line="360"/>
      <w:ind w:left="0" w:right="0" w:firstLine="748"/>
      <w:jc w:val="both"/>
    </w:pPr>
    <w:rPr/>
  </w:style>
  <w:style w:type="paragraph" w:styleId="Font91">
    <w:name w:val="font9"/>
    <w:basedOn w:val="Normal"/>
    <w:qFormat/>
    <w:pPr>
      <w:spacing w:before="280" w:after="280"/>
    </w:pPr>
    <w:rPr>
      <w:color w:val="FF0000"/>
      <w:sz w:val="20"/>
    </w:rPr>
  </w:style>
  <w:style w:type="paragraph" w:styleId="51">
    <w:name w:val="TOC 5"/>
    <w:next w:val="Normal"/>
    <w:pPr>
      <w:widowControl/>
      <w:suppressAutoHyphens w:val="true"/>
      <w:overflowPunct w:val="true"/>
      <w:bidi w:val="0"/>
      <w:spacing w:lineRule="auto" w:line="240" w:before="0" w:after="0"/>
      <w:ind w:left="8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Xl721">
    <w:name w:val="xl72"/>
    <w:basedOn w:val="Normal"/>
    <w:qFormat/>
    <w:pPr>
      <w:spacing w:before="280" w:after="280"/>
    </w:pPr>
    <w:rPr>
      <w:i/>
      <w:sz w:val="20"/>
    </w:rPr>
  </w:style>
  <w:style w:type="paragraph" w:styleId="Xl1331">
    <w:name w:val="xl133"/>
    <w:basedOn w:val="Normal"/>
    <w:qFormat/>
    <w:pPr>
      <w:spacing w:before="280" w:after="280"/>
      <w:jc w:val="center"/>
    </w:pPr>
    <w:rPr>
      <w:color w:val="FF0000"/>
    </w:rPr>
  </w:style>
  <w:style w:type="paragraph" w:styleId="Xl1511">
    <w:name w:val="xl151"/>
    <w:basedOn w:val="Normal"/>
    <w:qFormat/>
    <w:pPr>
      <w:spacing w:before="280" w:after="280"/>
    </w:pPr>
    <w:rPr>
      <w:sz w:val="20"/>
    </w:rPr>
  </w:style>
  <w:style w:type="paragraph" w:styleId="Xl1001">
    <w:name w:val="xl100"/>
    <w:basedOn w:val="Normal"/>
    <w:qFormat/>
    <w:pPr>
      <w:spacing w:before="280" w:after="280"/>
    </w:pPr>
    <w:rPr>
      <w:color w:val="000000"/>
      <w:sz w:val="20"/>
    </w:rPr>
  </w:style>
  <w:style w:type="paragraph" w:styleId="Xl681">
    <w:name w:val="xl68"/>
    <w:basedOn w:val="Normal"/>
    <w:qFormat/>
    <w:pPr>
      <w:spacing w:before="280" w:after="280"/>
    </w:pPr>
    <w:rPr>
      <w:sz w:val="20"/>
    </w:rPr>
  </w:style>
  <w:style w:type="paragraph" w:styleId="Xl1311">
    <w:name w:val="xl131"/>
    <w:basedOn w:val="Normal"/>
    <w:qFormat/>
    <w:pPr>
      <w:spacing w:before="280" w:after="280"/>
    </w:pPr>
    <w:rPr>
      <w:sz w:val="20"/>
    </w:rPr>
  </w:style>
  <w:style w:type="paragraph" w:styleId="Xl1071">
    <w:name w:val="xl107"/>
    <w:basedOn w:val="Normal"/>
    <w:qFormat/>
    <w:pPr>
      <w:spacing w:before="280" w:after="280"/>
    </w:pPr>
    <w:rPr>
      <w:sz w:val="20"/>
    </w:rPr>
  </w:style>
  <w:style w:type="paragraph" w:styleId="Xl1101">
    <w:name w:val="xl110"/>
    <w:basedOn w:val="Normal"/>
    <w:qFormat/>
    <w:pPr>
      <w:spacing w:before="280" w:after="280"/>
    </w:pPr>
    <w:rPr>
      <w:b/>
      <w:sz w:val="20"/>
    </w:rPr>
  </w:style>
  <w:style w:type="paragraph" w:styleId="Xl801">
    <w:name w:val="xl80"/>
    <w:basedOn w:val="Normal"/>
    <w:qFormat/>
    <w:pPr>
      <w:spacing w:before="280" w:after="280"/>
    </w:pPr>
    <w:rPr>
      <w:rFonts w:ascii="Arial" w:hAnsi="Arial"/>
      <w:color w:val="333333"/>
      <w:sz w:val="23"/>
    </w:rPr>
  </w:style>
  <w:style w:type="paragraph" w:styleId="Strong1">
    <w:name w:val="Strong"/>
    <w:qFormat/>
    <w:pPr>
      <w:widowControl/>
      <w:suppressAutoHyphens w:val="true"/>
      <w:overflowPunct w:val="true"/>
      <w:bidi w:val="0"/>
      <w:spacing w:lineRule="auto" w:line="240" w:before="0" w:after="0"/>
      <w:ind w:left="0" w:right="0" w:hanging="0"/>
      <w:jc w:val="left"/>
    </w:pPr>
    <w:rPr>
      <w:rFonts w:ascii="Times New Roman" w:hAnsi="Times New Roman" w:eastAsia="Tahoma" w:cs="Droid Sans Devanagari"/>
      <w:b/>
      <w:color w:val="000000"/>
      <w:spacing w:val="0"/>
      <w:kern w:val="0"/>
      <w:sz w:val="20"/>
      <w:szCs w:val="20"/>
      <w:lang w:val="ru-RU" w:eastAsia="zh-CN" w:bidi="hi-IN"/>
    </w:rPr>
  </w:style>
  <w:style w:type="paragraph" w:styleId="Xl1491">
    <w:name w:val="xl149"/>
    <w:basedOn w:val="Normal"/>
    <w:qFormat/>
    <w:pPr>
      <w:spacing w:before="280" w:after="280"/>
      <w:jc w:val="both"/>
    </w:pPr>
    <w:rPr>
      <w:i/>
      <w:color w:val="FF0000"/>
      <w:sz w:val="20"/>
    </w:rPr>
  </w:style>
  <w:style w:type="paragraph" w:styleId="Xl711">
    <w:name w:val="xl71"/>
    <w:basedOn w:val="Normal"/>
    <w:qFormat/>
    <w:pPr>
      <w:spacing w:before="280" w:after="280"/>
    </w:pPr>
    <w:rPr>
      <w:i/>
      <w:sz w:val="20"/>
    </w:rPr>
  </w:style>
  <w:style w:type="paragraph" w:styleId="Xl1501">
    <w:name w:val="xl150"/>
    <w:basedOn w:val="Normal"/>
    <w:qFormat/>
    <w:pPr>
      <w:spacing w:before="280" w:after="280"/>
    </w:pPr>
    <w:rPr>
      <w:color w:val="333333"/>
    </w:rPr>
  </w:style>
  <w:style w:type="paragraph" w:styleId="Xl871">
    <w:name w:val="xl87"/>
    <w:basedOn w:val="Normal"/>
    <w:qFormat/>
    <w:pPr>
      <w:spacing w:before="280" w:after="280"/>
    </w:pPr>
    <w:rPr>
      <w:rFonts w:ascii="Arial" w:hAnsi="Arial"/>
      <w:color w:val="333333"/>
      <w:sz w:val="21"/>
    </w:rPr>
  </w:style>
  <w:style w:type="paragraph" w:styleId="Style28">
    <w:name w:val="Subtitle"/>
    <w:next w:val="Normal"/>
    <w:qFormat/>
    <w:pPr>
      <w:widowControl/>
      <w:suppressAutoHyphens w:val="true"/>
      <w:overflowPunct w:val="true"/>
      <w:bidi w:val="0"/>
      <w:spacing w:lineRule="auto" w:line="240" w:before="0" w:after="0"/>
      <w:ind w:left="0" w:right="0" w:hanging="0"/>
      <w:jc w:val="left"/>
    </w:pPr>
    <w:rPr>
      <w:rFonts w:ascii="XO Thames" w:hAnsi="XO Thames" w:eastAsia="Tahoma" w:cs="Droid Sans Devanagari"/>
      <w:i/>
      <w:color w:val="616161"/>
      <w:spacing w:val="0"/>
      <w:kern w:val="0"/>
      <w:sz w:val="24"/>
      <w:szCs w:val="20"/>
      <w:lang w:val="ru-RU" w:eastAsia="zh-CN" w:bidi="hi-IN"/>
    </w:rPr>
  </w:style>
  <w:style w:type="paragraph" w:styleId="Xl1451">
    <w:name w:val="xl145"/>
    <w:basedOn w:val="Normal"/>
    <w:qFormat/>
    <w:pPr>
      <w:spacing w:before="280" w:after="280"/>
    </w:pPr>
    <w:rPr/>
  </w:style>
  <w:style w:type="paragraph" w:styleId="Toc101">
    <w:name w:val="toc 10"/>
    <w:next w:val="Normal"/>
    <w:qFormat/>
    <w:pPr>
      <w:widowControl/>
      <w:suppressAutoHyphens w:val="true"/>
      <w:overflowPunct w:val="true"/>
      <w:bidi w:val="0"/>
      <w:spacing w:lineRule="auto" w:line="240" w:before="0" w:after="0"/>
      <w:ind w:left="1800" w:right="0" w:hanging="0"/>
      <w:jc w:val="left"/>
    </w:pPr>
    <w:rPr>
      <w:rFonts w:ascii="Times New Roman" w:hAnsi="Times New Roman" w:eastAsia="Tahoma" w:cs="Droid Sans Devanagari"/>
      <w:color w:val="000000"/>
      <w:spacing w:val="0"/>
      <w:kern w:val="0"/>
      <w:sz w:val="20"/>
      <w:szCs w:val="20"/>
      <w:lang w:val="ru-RU" w:eastAsia="zh-CN" w:bidi="hi-IN"/>
    </w:rPr>
  </w:style>
  <w:style w:type="paragraph" w:styleId="Xl1291">
    <w:name w:val="xl129"/>
    <w:basedOn w:val="Normal"/>
    <w:qFormat/>
    <w:pPr>
      <w:spacing w:before="280" w:after="280"/>
    </w:pPr>
    <w:rPr>
      <w:rFonts w:ascii="Arial" w:hAnsi="Arial"/>
      <w:color w:val="333333"/>
      <w:sz w:val="20"/>
    </w:rPr>
  </w:style>
  <w:style w:type="paragraph" w:styleId="Style29">
    <w:name w:val="Title"/>
    <w:next w:val="Normal"/>
    <w:qFormat/>
    <w:pPr>
      <w:widowControl/>
      <w:suppressAutoHyphens w:val="true"/>
      <w:overflowPunct w:val="true"/>
      <w:bidi w:val="0"/>
      <w:spacing w:lineRule="auto" w:line="240" w:before="0" w:after="0"/>
      <w:ind w:left="0" w:right="0" w:hanging="0"/>
      <w:jc w:val="left"/>
    </w:pPr>
    <w:rPr>
      <w:rFonts w:ascii="XO Thames" w:hAnsi="XO Thames" w:eastAsia="Tahoma" w:cs="Droid Sans Devanagari"/>
      <w:b/>
      <w:color w:val="000000"/>
      <w:spacing w:val="0"/>
      <w:kern w:val="0"/>
      <w:sz w:val="52"/>
      <w:szCs w:val="20"/>
      <w:lang w:val="ru-RU" w:eastAsia="zh-CN" w:bidi="hi-IN"/>
    </w:rPr>
  </w:style>
  <w:style w:type="paragraph" w:styleId="Xl1251">
    <w:name w:val="xl125"/>
    <w:basedOn w:val="Normal"/>
    <w:qFormat/>
    <w:pPr>
      <w:spacing w:before="280" w:after="280"/>
    </w:pPr>
    <w:rPr/>
  </w:style>
  <w:style w:type="paragraph" w:styleId="Xl1351">
    <w:name w:val="xl135"/>
    <w:basedOn w:val="Normal"/>
    <w:qFormat/>
    <w:pPr>
      <w:spacing w:before="280" w:after="280"/>
      <w:jc w:val="center"/>
    </w:pPr>
    <w:rPr>
      <w:rFonts w:ascii="Arial" w:hAnsi="Arial"/>
      <w:b/>
      <w:color w:val="333333"/>
      <w:sz w:val="23"/>
    </w:rPr>
  </w:style>
  <w:style w:type="paragraph" w:styleId="Xl1431">
    <w:name w:val="xl143"/>
    <w:basedOn w:val="Normal"/>
    <w:qFormat/>
    <w:pPr>
      <w:spacing w:before="280" w:after="280"/>
      <w:jc w:val="center"/>
    </w:pPr>
    <w:rPr/>
  </w:style>
  <w:style w:type="paragraph" w:styleId="Xl751">
    <w:name w:val="xl75"/>
    <w:basedOn w:val="Normal"/>
    <w:qFormat/>
    <w:pPr>
      <w:spacing w:before="280" w:after="280"/>
    </w:pPr>
    <w:rPr>
      <w:b/>
      <w:sz w:val="20"/>
    </w:rPr>
  </w:style>
  <w:style w:type="paragraph" w:styleId="13">
    <w:name w:val="Обычный1"/>
    <w:qFormat/>
    <w:pPr>
      <w:widowControl/>
      <w:suppressAutoHyphens w:val="true"/>
      <w:overflowPunct w:val="true"/>
      <w:bidi w:val="0"/>
      <w:spacing w:lineRule="auto" w:line="240" w:before="0" w:after="0"/>
      <w:ind w:left="0" w:right="0" w:hanging="0"/>
      <w:jc w:val="left"/>
    </w:pPr>
    <w:rPr>
      <w:rFonts w:ascii="Calibri" w:hAnsi="Calibri" w:eastAsia="Tahoma" w:cs="Droid Sans Devanagari"/>
      <w:color w:val="000000"/>
      <w:spacing w:val="0"/>
      <w:kern w:val="0"/>
      <w:sz w:val="22"/>
      <w:szCs w:val="20"/>
      <w:lang w:val="ru-RU" w:eastAsia="zh-CN" w:bidi="hi-IN"/>
    </w:rPr>
  </w:style>
  <w:style w:type="paragraph" w:styleId="Xl781">
    <w:name w:val="xl78"/>
    <w:basedOn w:val="Normal"/>
    <w:qFormat/>
    <w:pPr>
      <w:spacing w:before="280" w:after="280"/>
    </w:pPr>
    <w:rPr>
      <w:b/>
      <w:sz w:val="18"/>
    </w:rPr>
  </w:style>
  <w:style w:type="paragraph" w:styleId="Font141">
    <w:name w:val="font14"/>
    <w:basedOn w:val="Normal"/>
    <w:qFormat/>
    <w:pPr>
      <w:spacing w:before="280" w:after="280"/>
    </w:pPr>
    <w:rPr>
      <w:i/>
      <w:color w:val="000000"/>
      <w:sz w:val="20"/>
    </w:rPr>
  </w:style>
  <w:style w:type="paragraph" w:styleId="Xl1211">
    <w:name w:val="xl121"/>
    <w:basedOn w:val="Normal"/>
    <w:qFormat/>
    <w:pPr>
      <w:spacing w:before="280" w:after="280"/>
      <w:jc w:val="center"/>
    </w:pPr>
    <w:rPr/>
  </w:style>
  <w:style w:type="paragraph" w:styleId="Style30">
    <w:name w:val="Footnote Text"/>
    <w:basedOn w:val="Normal"/>
    <w:pPr/>
    <w:rPr/>
  </w:style>
  <w:style w:type="paragraph" w:styleId="Style31">
    <w:name w:val="Содержимое врезки"/>
    <w:basedOn w:val="Normal"/>
    <w:qFormat/>
    <w:pPr/>
    <w:rPr/>
  </w:style>
  <w:style w:type="paragraph" w:styleId="Style32">
    <w:name w:val="Содержимое таблицы"/>
    <w:basedOn w:val="Normal"/>
    <w:qFormat/>
    <w:pPr>
      <w:widowControl w:val="false"/>
      <w:suppressLineNumbers/>
    </w:pPr>
    <w:rPr/>
  </w:style>
  <w:style w:type="paragraph" w:styleId="Style33">
    <w:name w:val="Заголовок таблицы"/>
    <w:basedOn w:val="Style32"/>
    <w:qFormat/>
    <w:pPr>
      <w:suppressLineNumbers/>
      <w:jc w:val="center"/>
    </w:pPr>
    <w:rPr>
      <w:b/>
      <w:bCs/>
    </w:rPr>
  </w:style>
  <w:style w:type="numbering" w:styleId="123">
    <w:name w:val="Нумерованный 123"/>
    <w:qFormat/>
  </w:style>
  <w:style w:type="numbering" w:styleId="WW8Num38">
    <w:name w:val="WW8Num38"/>
    <w:qFormat/>
  </w:style>
  <w:style w:type="numbering" w:styleId="WW8Num20">
    <w:name w:val="WW8Num2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demo.garant.ru/document?id=87265&amp;sub=1000" TargetMode="External"/><Relationship Id="rId3" Type="http://schemas.openxmlformats.org/officeDocument/2006/relationships/hyperlink" Target="http://demo.garant.ru/document?id=87264&amp;sub=1000" TargetMode="External"/><Relationship Id="rId4" Type="http://schemas.openxmlformats.org/officeDocument/2006/relationships/hyperlink" Target="http://demo.garant.ru/document?id=87244&amp;sub=1000" TargetMode="External"/><Relationship Id="rId5" Type="http://schemas.openxmlformats.org/officeDocument/2006/relationships/hyperlink" Target="http://demo.garant.ru/document?id=87259&amp;sub=1000" TargetMode="External"/><Relationship Id="rId6" Type="http://schemas.openxmlformats.org/officeDocument/2006/relationships/hyperlink" Target="http://demo.garant.ru/document?id=87246&amp;sub=1000"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header" Target="header3.xml"/><Relationship Id="rId11" Type="http://schemas.openxmlformats.org/officeDocument/2006/relationships/footer" Target="footer2.xml"/><Relationship Id="rId12" Type="http://schemas.openxmlformats.org/officeDocument/2006/relationships/header" Target="header4.xml"/><Relationship Id="rId13" Type="http://schemas.openxmlformats.org/officeDocument/2006/relationships/footer" Target="footer3.xml"/><Relationship Id="rId14" Type="http://schemas.openxmlformats.org/officeDocument/2006/relationships/footnotes" Target="footnotes.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3269</TotalTime>
  <Application>LibreOffice/7.1.6.2$Linux_X86_64 LibreOffice_project/0e133318fcee89abacd6a7d077e292f1145735c3</Application>
  <AppVersion>15.0000</AppVersion>
  <Pages>100</Pages>
  <Words>21963</Words>
  <Characters>155563</Characters>
  <CharactersWithSpaces>174023</CharactersWithSpaces>
  <Paragraphs>3705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2021-12-02T18:59:28Z</dcterms:modified>
  <cp:revision>1086</cp:revision>
  <dc:subject/>
  <dc:title/>
</cp:coreProperties>
</file>

<file path=docProps/custom.xml><?xml version="1.0" encoding="utf-8"?>
<Properties xmlns="http://schemas.openxmlformats.org/officeDocument/2006/custom-properties" xmlns:vt="http://schemas.openxmlformats.org/officeDocument/2006/docPropsVTypes"/>
</file>