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0BBDE" w14:textId="77777777" w:rsidR="00000000" w:rsidRDefault="0071659A">
      <w:pPr>
        <w:pStyle w:val="af1"/>
        <w:shd w:val="clear" w:color="auto" w:fill="FFFFFF"/>
        <w:suppressAutoHyphens/>
        <w:spacing w:before="0" w:after="0" w:line="340" w:lineRule="exact"/>
        <w:jc w:val="center"/>
        <w:textAlignment w:val="baseline"/>
      </w:pPr>
    </w:p>
    <w:p w14:paraId="19C3EF12" w14:textId="77777777" w:rsidR="00000000" w:rsidRDefault="0071659A">
      <w:pPr>
        <w:pStyle w:val="af1"/>
        <w:shd w:val="clear" w:color="auto" w:fill="FFFFFF"/>
        <w:suppressAutoHyphens/>
        <w:spacing w:before="0" w:after="0" w:line="340" w:lineRule="exact"/>
        <w:jc w:val="center"/>
        <w:textAlignment w:val="baseline"/>
      </w:pPr>
      <w:r>
        <w:rPr>
          <w:b/>
          <w:sz w:val="28"/>
          <w:szCs w:val="28"/>
        </w:rPr>
        <w:t>Информация об исполнении в III квартале 2021 г.</w:t>
      </w:r>
      <w:r>
        <w:rPr>
          <w:b/>
          <w:sz w:val="28"/>
          <w:szCs w:val="28"/>
        </w:rPr>
        <w:br/>
        <w:t>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</w:t>
      </w:r>
      <w:r>
        <w:rPr>
          <w:b/>
          <w:sz w:val="28"/>
          <w:szCs w:val="28"/>
        </w:rPr>
        <w:t xml:space="preserve">нтного рынка на 2018–2020 годы, утвержденного распоряжением Правительства Российской Федерации от 16 августа 2018 г. № 1697-р (далее – План мероприятий), </w:t>
      </w:r>
      <w:r>
        <w:rPr>
          <w:rFonts w:eastAsia="Calibri"/>
          <w:b/>
          <w:sz w:val="28"/>
          <w:szCs w:val="28"/>
        </w:rPr>
        <w:t xml:space="preserve">по </w:t>
      </w:r>
      <w:r>
        <w:rPr>
          <w:rFonts w:eastAsia="Calibri"/>
          <w:b/>
          <w:sz w:val="28"/>
          <w:szCs w:val="28"/>
        </w:rPr>
        <w:t xml:space="preserve">пунктам 2, 3, 4 </w:t>
      </w:r>
      <w:r>
        <w:rPr>
          <w:rFonts w:eastAsia="Calibri"/>
          <w:b/>
          <w:sz w:val="28"/>
          <w:szCs w:val="28"/>
        </w:rPr>
        <w:t>подраздела IV «Дорожное строительство»</w:t>
      </w:r>
      <w:r>
        <w:rPr>
          <w:rFonts w:eastAsia="Calibri"/>
          <w:b/>
          <w:sz w:val="28"/>
          <w:szCs w:val="28"/>
        </w:rPr>
        <w:br/>
        <w:t xml:space="preserve"> и пункту 5 подраздел</w:t>
      </w:r>
      <w:r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XVII «Транспортные ус</w:t>
      </w:r>
      <w:r>
        <w:rPr>
          <w:rFonts w:eastAsia="Calibri"/>
          <w:b/>
          <w:sz w:val="28"/>
          <w:szCs w:val="28"/>
        </w:rPr>
        <w:t xml:space="preserve">луги» раздела II «План </w:t>
      </w:r>
      <w:r>
        <w:rPr>
          <w:rFonts w:eastAsia="Calibri"/>
          <w:b/>
          <w:sz w:val="28"/>
          <w:szCs w:val="28"/>
        </w:rPr>
        <w:br/>
        <w:t>развития  конкуренции» Плана мероприятий</w:t>
      </w:r>
    </w:p>
    <w:p w14:paraId="0CB73A97" w14:textId="77777777" w:rsidR="00000000" w:rsidRDefault="0071659A">
      <w:pPr>
        <w:pStyle w:val="af1"/>
        <w:shd w:val="clear" w:color="auto" w:fill="FFFFFF"/>
        <w:spacing w:before="0" w:after="0" w:line="340" w:lineRule="exact"/>
        <w:jc w:val="center"/>
        <w:textAlignment w:val="baseline"/>
      </w:pPr>
      <w:r>
        <w:rPr>
          <w:rFonts w:eastAsia="Calibri"/>
          <w:sz w:val="28"/>
          <w:szCs w:val="28"/>
        </w:rPr>
        <w:t>(по состоянию на конец III квартала)</w:t>
      </w:r>
    </w:p>
    <w:p w14:paraId="6C4F7D68" w14:textId="77777777" w:rsidR="00000000" w:rsidRDefault="0071659A">
      <w:pPr>
        <w:pStyle w:val="af1"/>
        <w:shd w:val="clear" w:color="auto" w:fill="FFFFFF"/>
        <w:spacing w:before="0" w:after="0" w:line="340" w:lineRule="exact"/>
        <w:jc w:val="center"/>
        <w:textAlignment w:val="baseline"/>
        <w:rPr>
          <w:rFonts w:eastAsia="Calibri"/>
          <w:sz w:val="28"/>
          <w:szCs w:val="28"/>
        </w:rPr>
      </w:pPr>
    </w:p>
    <w:p w14:paraId="408AF4B8" w14:textId="77777777" w:rsidR="00000000" w:rsidRDefault="0071659A">
      <w:pPr>
        <w:pStyle w:val="af1"/>
        <w:shd w:val="clear" w:color="auto" w:fill="FFFFFF"/>
        <w:spacing w:before="0" w:after="0" w:line="352" w:lineRule="exact"/>
        <w:ind w:firstLine="709"/>
        <w:textAlignment w:val="baseline"/>
      </w:pPr>
      <w:r>
        <w:rPr>
          <w:b/>
          <w:sz w:val="28"/>
          <w:szCs w:val="28"/>
        </w:rPr>
        <w:t xml:space="preserve">По подразделу IV «Дорожное строительство» раздела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«План развития конкуренции» Плана мероприятий</w:t>
      </w:r>
    </w:p>
    <w:p w14:paraId="2DDB0D16" w14:textId="77777777" w:rsidR="00000000" w:rsidRDefault="0071659A">
      <w:pPr>
        <w:pStyle w:val="af1"/>
        <w:shd w:val="clear" w:color="auto" w:fill="FFFFFF"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</w:rPr>
        <w:t xml:space="preserve">По пунктам 2 и 4 </w:t>
      </w:r>
    </w:p>
    <w:p w14:paraId="4791E174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«Внесение изменений в законодательст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 Российской Федерации в части определения видов конкурентных процедур, требований к подрядным организациям и правил оценки предложений при осуществлении закупочной деятельности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отношении работ, связанных с осуществлением дорожной деятельности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отношен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ии автомобильных дорог общего пользования».</w:t>
      </w:r>
    </w:p>
    <w:p w14:paraId="4282FE86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«Внесение изменений в законодательство Российской Федерации в части установления минимальных и максимальных объемов работ, передаваемых</w:t>
      </w:r>
      <w:r>
        <w:rPr>
          <w:rFonts w:ascii="Times New Roman" w:hAnsi="Times New Roman" w:cs="Times New Roman"/>
          <w:i/>
          <w:sz w:val="28"/>
          <w:szCs w:val="28"/>
        </w:rPr>
        <w:br/>
        <w:t>в обязательном порядке субподрядчикам, случаев, когда привлечение субподрядч</w:t>
      </w:r>
      <w:r>
        <w:rPr>
          <w:rFonts w:ascii="Times New Roman" w:hAnsi="Times New Roman" w:cs="Times New Roman"/>
          <w:i/>
          <w:sz w:val="28"/>
          <w:szCs w:val="28"/>
        </w:rPr>
        <w:t>иков позволяет получить дополнительные конкурентные преимущества, а также определяющих требования к привлекаемым субподрядчикам, порядок учета квалификации субподрядчиков».</w:t>
      </w:r>
    </w:p>
    <w:p w14:paraId="366B3D49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указанных пунктов Плана мероприятий осуществляется Минтрансом России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с заинтересованными федеральными органами исполнительной власти в рамках исполнения части 3 подпункта «н» пункта 1 перечня поручений Президента Российской Федерации от 17 июля 2019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Пр-1З81ГС о рассмотрении вопросов, касающихся перехода к отбору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подрядных организаций с учетом дифференцированных требований к ним, в целях совершенствования контрактной системы в сфере закупок.</w:t>
      </w:r>
    </w:p>
    <w:p w14:paraId="4B1AF4DB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t>Подготовленные Минтрансом России предложения, предусматривающие внедрение системы рейтингования участников закупки на основе</w:t>
      </w:r>
      <w:r>
        <w:rPr>
          <w:sz w:val="28"/>
          <w:szCs w:val="28"/>
          <w:lang w:eastAsia="ru-RU"/>
        </w:rPr>
        <w:t xml:space="preserve"> дифференцированных требований к ним, в том числе учитывающих сложность выполнения работ, наличие деловой репутации, материально-технической базы</w:t>
      </w:r>
      <w:r>
        <w:rPr>
          <w:sz w:val="28"/>
          <w:szCs w:val="28"/>
          <w:lang w:eastAsia="ru-RU"/>
        </w:rPr>
        <w:br/>
        <w:t>и опыта выполнения работ, рассмотрены в рамках подготовки законопроекта</w:t>
      </w:r>
      <w:r>
        <w:rPr>
          <w:sz w:val="28"/>
          <w:szCs w:val="28"/>
          <w:lang w:eastAsia="ru-RU"/>
        </w:rPr>
        <w:br/>
        <w:t>по внесению изменений в Федеральный за</w:t>
      </w:r>
      <w:r>
        <w:rPr>
          <w:sz w:val="28"/>
          <w:szCs w:val="28"/>
          <w:lang w:eastAsia="ru-RU"/>
        </w:rPr>
        <w:t>кон от 5 апреля 2013 г. № 44-ФЗ</w:t>
      </w:r>
      <w:r>
        <w:rPr>
          <w:sz w:val="28"/>
          <w:szCs w:val="28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 (далее – Законопроект).</w:t>
      </w:r>
    </w:p>
    <w:p w14:paraId="64305F81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lastRenderedPageBreak/>
        <w:t>При обсуждении Законопроекта на заседании Комиссии Правительства Российской Федерации</w:t>
      </w:r>
      <w:r>
        <w:rPr>
          <w:sz w:val="28"/>
          <w:szCs w:val="28"/>
          <w:lang w:eastAsia="ru-RU"/>
        </w:rPr>
        <w:t xml:space="preserve"> по законопроектной деятельности от 18 января 2021 г. представлены замечания о наличии признаков несоответствия механизма применения рейтинга положениям Конституции Российской Федерации. В рамках прохождения регламентных процедур в Государственной Думе Фед</w:t>
      </w:r>
      <w:r>
        <w:rPr>
          <w:sz w:val="28"/>
          <w:szCs w:val="28"/>
          <w:lang w:eastAsia="ru-RU"/>
        </w:rPr>
        <w:t>ерального Собрания Российской Федерации из Законопроекта были исключены положения, касающиеся внедрения механизма рейтингования деловой репутации.</w:t>
      </w:r>
    </w:p>
    <w:p w14:paraId="2ECCD1EC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t>Учитывая изложенное, в положения Федерального закона от 2 июля 2021 г.</w:t>
      </w:r>
      <w:r>
        <w:rPr>
          <w:sz w:val="28"/>
          <w:szCs w:val="28"/>
          <w:lang w:eastAsia="ru-RU"/>
        </w:rPr>
        <w:br/>
        <w:t>№ 360-ФЗ «О внесении изменений в отдел</w:t>
      </w:r>
      <w:r>
        <w:rPr>
          <w:sz w:val="28"/>
          <w:szCs w:val="28"/>
          <w:lang w:eastAsia="ru-RU"/>
        </w:rPr>
        <w:t>ьные законодательные акты Российской Федерации» (далее – Оптимизационный закон), предусматривающего оптимизационные поправки к законодательству Российской Федерации в сфере государственных закупок, не включены подготовленные Минтрансом России предложения.</w:t>
      </w:r>
    </w:p>
    <w:p w14:paraId="029E2075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t xml:space="preserve">Следует отметить, что положениями Оптимизационного закона введена «универсальная стоимостная </w:t>
      </w:r>
      <w:proofErr w:type="spellStart"/>
      <w:r>
        <w:rPr>
          <w:sz w:val="28"/>
          <w:szCs w:val="28"/>
          <w:lang w:eastAsia="ru-RU"/>
        </w:rPr>
        <w:t>предквалификация</w:t>
      </w:r>
      <w:proofErr w:type="spellEnd"/>
      <w:r>
        <w:rPr>
          <w:sz w:val="28"/>
          <w:szCs w:val="28"/>
          <w:lang w:eastAsia="ru-RU"/>
        </w:rPr>
        <w:t>», предусматривающая допуск</w:t>
      </w:r>
      <w:r>
        <w:rPr>
          <w:sz w:val="28"/>
          <w:szCs w:val="28"/>
          <w:lang w:eastAsia="ru-RU"/>
        </w:rPr>
        <w:br/>
        <w:t>к участию в закупках стоимостью свыше 20 млн рублей участников, имеющих успешный опыт исполнения контрактов в объеме не</w:t>
      </w:r>
      <w:r>
        <w:rPr>
          <w:sz w:val="28"/>
          <w:szCs w:val="28"/>
          <w:lang w:eastAsia="ru-RU"/>
        </w:rPr>
        <w:t xml:space="preserve"> менее 20 % от начальной (максимальной) цены контракта независимо от предмета закупки.</w:t>
      </w:r>
    </w:p>
    <w:p w14:paraId="074FD431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t>Вместе с тем Правительством Российской Федерации реализован ряд мероприятий по внесению изменений в нормативные правовые акты, предусматривающих возможность установления</w:t>
      </w:r>
      <w:r>
        <w:rPr>
          <w:sz w:val="28"/>
          <w:szCs w:val="28"/>
          <w:lang w:eastAsia="ru-RU"/>
        </w:rPr>
        <w:t xml:space="preserve"> дополнительных требований</w:t>
      </w:r>
      <w:r>
        <w:rPr>
          <w:sz w:val="28"/>
          <w:szCs w:val="28"/>
          <w:lang w:eastAsia="ru-RU"/>
        </w:rPr>
        <w:br/>
        <w:t>к участникам закупок. Закрепленные в настоящее время постановлением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</w:t>
      </w:r>
      <w:r>
        <w:rPr>
          <w:sz w:val="28"/>
          <w:szCs w:val="28"/>
          <w:lang w:eastAsia="ru-RU"/>
        </w:rPr>
        <w:t>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</w:t>
      </w:r>
      <w:r>
        <w:rPr>
          <w:sz w:val="28"/>
          <w:szCs w:val="28"/>
          <w:lang w:eastAsia="ru-RU"/>
        </w:rPr>
        <w:t>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 дополнительные требования устанавливают дифференцированные минимальны</w:t>
      </w:r>
      <w:r>
        <w:rPr>
          <w:sz w:val="28"/>
          <w:szCs w:val="28"/>
          <w:lang w:eastAsia="ru-RU"/>
        </w:rPr>
        <w:t>е значения по опыту выполнения работ исполнителем в зависимости от значения цены ранее выполненных контрактов, а также с учетом вида и технической сложности закупаемых видов работ (услуг), в том числе по строительству, реконструкции, капитальному ремонту и</w:t>
      </w:r>
      <w:r>
        <w:rPr>
          <w:sz w:val="28"/>
          <w:szCs w:val="28"/>
          <w:lang w:eastAsia="ru-RU"/>
        </w:rPr>
        <w:t xml:space="preserve"> содержанию объектов капитального строительства.</w:t>
      </w:r>
    </w:p>
    <w:p w14:paraId="1C8C0B4F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contextualSpacing/>
        <w:textAlignment w:val="baseline"/>
      </w:pPr>
      <w:r>
        <w:rPr>
          <w:sz w:val="28"/>
          <w:szCs w:val="28"/>
          <w:lang w:eastAsia="ru-RU"/>
        </w:rPr>
        <w:t xml:space="preserve">Принимая во внимание проведенную работу по совершенствованию положений законодательства Российской Федерации в сфере закупок, установление иных дополнительных </w:t>
      </w:r>
      <w:proofErr w:type="spellStart"/>
      <w:r>
        <w:rPr>
          <w:sz w:val="28"/>
          <w:szCs w:val="28"/>
          <w:lang w:eastAsia="ru-RU"/>
        </w:rPr>
        <w:t>диферренцированных</w:t>
      </w:r>
      <w:proofErr w:type="spellEnd"/>
      <w:r>
        <w:rPr>
          <w:sz w:val="28"/>
          <w:szCs w:val="28"/>
          <w:lang w:eastAsia="ru-RU"/>
        </w:rPr>
        <w:t xml:space="preserve"> требований к участникам закуп</w:t>
      </w:r>
      <w:r>
        <w:rPr>
          <w:sz w:val="28"/>
          <w:szCs w:val="28"/>
          <w:lang w:eastAsia="ru-RU"/>
        </w:rPr>
        <w:t>ок, необходимых для исполнения соответствующих контрактов, в настоящее время</w:t>
      </w:r>
      <w:r>
        <w:rPr>
          <w:sz w:val="28"/>
          <w:szCs w:val="28"/>
          <w:lang w:eastAsia="ru-RU"/>
        </w:rPr>
        <w:br/>
        <w:t>не требуется.</w:t>
      </w:r>
    </w:p>
    <w:p w14:paraId="439AA650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textAlignment w:val="baseline"/>
      </w:pPr>
      <w:r>
        <w:rPr>
          <w:sz w:val="28"/>
          <w:szCs w:val="28"/>
        </w:rPr>
        <w:lastRenderedPageBreak/>
        <w:t>По пункту 3</w:t>
      </w:r>
    </w:p>
    <w:p w14:paraId="1EEB26BD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«Определение предельного объема работ в натуральном и (или) денежном выражении, который может быть включен в один лот по каждому виду работ».</w:t>
      </w:r>
    </w:p>
    <w:p w14:paraId="3E39F062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мероприятия пункта 3 подраздела IV Плана непосредственно связан с исполнением пункта 2 и составляет шесть месяцев с даты вступления в силу федерального закона, предусмотренного пунктом 2.</w:t>
      </w:r>
    </w:p>
    <w:p w14:paraId="4FC7C3A1" w14:textId="77777777" w:rsidR="00000000" w:rsidRDefault="0071659A">
      <w:pPr>
        <w:spacing w:after="0" w:line="352" w:lineRule="exact"/>
        <w:ind w:firstLine="709"/>
        <w:contextualSpacing/>
        <w:jc w:val="both"/>
        <w:rPr>
          <w:color w:val="C9211E"/>
        </w:rPr>
      </w:pPr>
    </w:p>
    <w:p w14:paraId="3DA8E423" w14:textId="77777777" w:rsidR="00000000" w:rsidRDefault="0071659A">
      <w:pPr>
        <w:pStyle w:val="af1"/>
        <w:shd w:val="clear" w:color="auto" w:fill="FFFFFF"/>
        <w:suppressAutoHyphens/>
        <w:spacing w:before="0" w:after="0" w:line="352" w:lineRule="exact"/>
        <w:ind w:firstLine="709"/>
        <w:textAlignment w:val="baseline"/>
      </w:pPr>
      <w:r>
        <w:rPr>
          <w:b/>
          <w:sz w:val="28"/>
          <w:szCs w:val="28"/>
        </w:rPr>
        <w:t xml:space="preserve">По подразделу XVII «Транспортные услуги» раздела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«План разв</w:t>
      </w:r>
      <w:r>
        <w:rPr>
          <w:b/>
          <w:sz w:val="28"/>
          <w:szCs w:val="28"/>
        </w:rPr>
        <w:t>ития конкуренции» Плана мероприятий</w:t>
      </w:r>
    </w:p>
    <w:p w14:paraId="1344D4BB" w14:textId="77777777" w:rsidR="00000000" w:rsidRDefault="0071659A">
      <w:pPr>
        <w:spacing w:after="0" w:line="352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пункту 5</w:t>
      </w:r>
    </w:p>
    <w:p w14:paraId="52A1BE62" w14:textId="77777777" w:rsidR="00000000" w:rsidRDefault="0071659A">
      <w:pPr>
        <w:spacing w:after="0" w:line="352" w:lineRule="exact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«Принятие ведомственных нормативных правовых актов, направленных</w:t>
      </w:r>
      <w:r>
        <w:rPr>
          <w:rFonts w:ascii="Times New Roman" w:hAnsi="Times New Roman" w:cs="Times New Roman"/>
          <w:i/>
          <w:sz w:val="28"/>
          <w:szCs w:val="28"/>
        </w:rPr>
        <w:br/>
        <w:t>на реализацию Федерального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</w:t>
      </w:r>
      <w:r>
        <w:rPr>
          <w:rFonts w:ascii="Times New Roman" w:hAnsi="Times New Roman" w:cs="Times New Roman"/>
          <w:i/>
          <w:sz w:val="28"/>
          <w:szCs w:val="28"/>
        </w:rPr>
        <w:t>рическим транспортом в Российской Федерации и о внесении изменений</w:t>
      </w:r>
      <w:r>
        <w:rPr>
          <w:rFonts w:ascii="Times New Roman" w:hAnsi="Times New Roman" w:cs="Times New Roman"/>
          <w:i/>
          <w:sz w:val="28"/>
          <w:szCs w:val="28"/>
        </w:rPr>
        <w:br/>
        <w:t>в отдельные законодательные акты Российской Федерации».</w:t>
      </w:r>
    </w:p>
    <w:p w14:paraId="22119523" w14:textId="77777777" w:rsidR="00000000" w:rsidRDefault="0071659A">
      <w:pPr>
        <w:spacing w:after="0" w:line="352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пунктом предусматривается реализация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«О внесении изменений в статью 34 Федерального закона «Об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регулярных перевозок пассажиров и багажа автомобильным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городским наземным электрическим транспортом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Федерации», указанного в пункте 4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Плана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шести месяцев с даты вступления в силу. </w:t>
      </w:r>
    </w:p>
    <w:p w14:paraId="179329E6" w14:textId="77777777" w:rsidR="00000000" w:rsidRDefault="0071659A">
      <w:pPr>
        <w:spacing w:after="0" w:line="352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наземным электрическим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и о внесении изменений в отдельные законодательные акты Российской Федерации» распоряжением Правительства Российской Федерации от 22 марта 2019 г. № 497-р внесен в Государственную Думу Федеральног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Собрания Российской Федерации (законопроект № 674420-7). </w:t>
      </w:r>
    </w:p>
    <w:p w14:paraId="03BB094A" w14:textId="77777777" w:rsidR="00000000" w:rsidRDefault="0071659A">
      <w:pPr>
        <w:spacing w:after="0" w:line="352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Законопроект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674420-7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Государственной Думой Федерального Собрания Российской Федерации в первом чтении 10 июля 2019 г. (информация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г.).</w:t>
      </w:r>
    </w:p>
    <w:p w14:paraId="39602038" w14:textId="77777777" w:rsidR="00CF05EA" w:rsidRDefault="0071659A">
      <w:pPr>
        <w:spacing w:after="0" w:line="352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пункта 5 непосредственно связан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вступлением в силу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и о внесении изменений в отдельные законодательные акты Российской Федерации», реализация пункта 5 будет осуществлена после принятия закона.</w:t>
      </w:r>
    </w:p>
    <w:sectPr w:rsidR="00CF05EA">
      <w:headerReference w:type="default" r:id="rId7"/>
      <w:headerReference w:type="first" r:id="rId8"/>
      <w:pgSz w:w="11906" w:h="16838"/>
      <w:pgMar w:top="964" w:right="567" w:bottom="96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AB51" w14:textId="77777777" w:rsidR="0071659A" w:rsidRDefault="0071659A">
      <w:pPr>
        <w:spacing w:after="0" w:line="240" w:lineRule="auto"/>
      </w:pPr>
      <w:r>
        <w:separator/>
      </w:r>
    </w:p>
  </w:endnote>
  <w:endnote w:type="continuationSeparator" w:id="0">
    <w:p w14:paraId="03408998" w14:textId="77777777" w:rsidR="0071659A" w:rsidRDefault="0071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77">
    <w:altName w:val="Times New Roman"/>
    <w:charset w:val="CC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0791" w14:textId="77777777" w:rsidR="0071659A" w:rsidRDefault="0071659A">
      <w:pPr>
        <w:spacing w:after="0" w:line="240" w:lineRule="auto"/>
      </w:pPr>
      <w:r>
        <w:separator/>
      </w:r>
    </w:p>
  </w:footnote>
  <w:footnote w:type="continuationSeparator" w:id="0">
    <w:p w14:paraId="7FBCB726" w14:textId="77777777" w:rsidR="0071659A" w:rsidRDefault="0071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D85D" w14:textId="77777777" w:rsidR="00000000" w:rsidRDefault="0071659A">
    <w:pPr>
      <w:pStyle w:val="ac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fldChar w:fldCharType="end"/>
    </w:r>
  </w:p>
  <w:p w14:paraId="68C03662" w14:textId="77777777" w:rsidR="00000000" w:rsidRDefault="0071659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27E5" w14:textId="77777777" w:rsidR="00000000" w:rsidRDefault="007165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5EA"/>
    <w:rsid w:val="0071659A"/>
    <w:rsid w:val="00C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6FAD7B"/>
  <w15:chartTrackingRefBased/>
  <w15:docId w15:val="{E55CBEFE-5A5B-4695-8DFB-D4A00D0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877"/>
      <w:sz w:val="22"/>
      <w:szCs w:val="22"/>
      <w:lang w:eastAsia="zh-CN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Нижний колонтитул Знак"/>
    <w:basedOn w:val="DefaultParagraphFont"/>
  </w:style>
  <w:style w:type="character" w:customStyle="1" w:styleId="a7">
    <w:name w:val="Основной текст_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12">
    <w:name w:val="Текст выноски Знак1"/>
    <w:rPr>
      <w:rFonts w:ascii="Segoe UI" w:eastAsia="Calibri" w:hAnsi="Segoe UI" w:cs="Segoe UI"/>
      <w:sz w:val="18"/>
      <w:szCs w:val="18"/>
    </w:rPr>
  </w:style>
  <w:style w:type="character" w:styleId="a8">
    <w:name w:val="Hyperlink"/>
    <w:rPr>
      <w:color w:val="000080"/>
      <w:u w:val="single"/>
      <w:lang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roid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NormalWeb">
    <w:name w:val="Normal (Web)"/>
    <w:basedOn w:val="a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Верхний и нижний колонтитулы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Обычный (веб)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cp:keywords/>
  <cp:lastModifiedBy>EKATERINA MAKSIMOVA</cp:lastModifiedBy>
  <cp:revision>2</cp:revision>
  <cp:lastPrinted>2021-10-04T10:10:00Z</cp:lastPrinted>
  <dcterms:created xsi:type="dcterms:W3CDTF">2021-10-06T12:34:00Z</dcterms:created>
  <dcterms:modified xsi:type="dcterms:W3CDTF">2021-10-06T12:34:00Z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