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fontTable.xml" ContentType="application/vnd.openxmlformats-officedocument.wordprocessingml.fontTable+xml"/>
  <Override PartName="/word/header1.xml" ContentType="application/vnd.openxmlformats-officedocument.wordprocessingml.header+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a3"/>
        <w:tblW w:w="14560" w:type="dxa"/>
        <w:jc w:val="left"/>
        <w:tblInd w:w="0" w:type="dxa"/>
        <w:tblLayout w:type="fixed"/>
        <w:tblCellMar>
          <w:top w:w="0" w:type="dxa"/>
          <w:left w:w="108" w:type="dxa"/>
          <w:bottom w:w="0" w:type="dxa"/>
          <w:right w:w="108" w:type="dxa"/>
        </w:tblCellMar>
        <w:tblLook w:val="04a0" w:noVBand="1" w:noHBand="0" w:firstRow="1" w:lastRow="0" w:firstColumn="1" w:lastColumn="0"/>
      </w:tblPr>
      <w:tblGrid>
        <w:gridCol w:w="3497"/>
        <w:gridCol w:w="3497"/>
        <w:gridCol w:w="3915"/>
        <w:gridCol w:w="3650"/>
      </w:tblGrid>
      <w:tr>
        <w:trPr/>
        <w:tc>
          <w:tcPr>
            <w:tcW w:w="3497"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3497"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3915"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3650" w:type="dxa"/>
            <w:tcBorders>
              <w:top w:val="nil"/>
              <w:left w:val="nil"/>
              <w:bottom w:val="nil"/>
              <w:right w:val="nil"/>
            </w:tcBorders>
          </w:tcPr>
          <w:p>
            <w:pPr>
              <w:pStyle w:val="Normal"/>
              <w:widowControl w:val="false"/>
              <w:suppressAutoHyphens w:val="true"/>
              <w:spacing w:lineRule="auto" w:line="240" w:before="0" w:after="0"/>
              <w:jc w:val="center"/>
              <w:rPr>
                <w:rFonts w:ascii="Times New Roman" w:hAnsi="Times New Roman" w:eastAsia="Calibri" w:cs="Times New Roman"/>
                <w:color w:val="FFFFFF"/>
                <w:kern w:val="0"/>
                <w:sz w:val="28"/>
                <w:szCs w:val="28"/>
                <w:lang w:val="ru-RU" w:eastAsia="en-US" w:bidi="ar-SA"/>
              </w:rPr>
            </w:pPr>
            <w:r>
              <w:rPr>
                <w:rFonts w:eastAsia="Calibri" w:cs="Times New Roman" w:ascii="Times New Roman" w:hAnsi="Times New Roman"/>
                <w:color w:val="FFFFFF"/>
                <w:kern w:val="0"/>
                <w:sz w:val="28"/>
                <w:szCs w:val="28"/>
                <w:lang w:val="ru-RU" w:eastAsia="en-US" w:bidi="ar-SA"/>
              </w:rPr>
              <w:t>ПРИЛОЖЕНИЕ 1</w:t>
            </w:r>
          </w:p>
          <w:p>
            <w:pPr>
              <w:pStyle w:val="Normal"/>
              <w:widowControl w:val="false"/>
              <w:suppressAutoHyphens w:val="true"/>
              <w:spacing w:lineRule="auto" w:line="240" w:before="0" w:after="0"/>
              <w:jc w:val="center"/>
              <w:rPr>
                <w:rFonts w:ascii="Times New Roman" w:hAnsi="Times New Roman" w:eastAsia="Calibri" w:cs="Times New Roman"/>
                <w:color w:val="FFFFFF"/>
                <w:kern w:val="0"/>
                <w:sz w:val="28"/>
                <w:szCs w:val="28"/>
                <w:lang w:val="ru-RU" w:eastAsia="en-US" w:bidi="ar-SA"/>
              </w:rPr>
            </w:pPr>
            <w:r>
              <w:rPr>
                <w:rFonts w:eastAsia="Calibri" w:cs="Times New Roman" w:ascii="Times New Roman" w:hAnsi="Times New Roman"/>
                <w:color w:val="FFFFFF"/>
                <w:kern w:val="0"/>
                <w:sz w:val="28"/>
                <w:szCs w:val="28"/>
                <w:lang w:val="ru-RU" w:eastAsia="en-US" w:bidi="ar-SA"/>
              </w:rPr>
              <w:t>к письму Минтранса России</w:t>
            </w:r>
          </w:p>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color w:val="FFFFFF" w:themeColor="background1"/>
                <w:kern w:val="0"/>
                <w:sz w:val="28"/>
                <w:szCs w:val="28"/>
                <w:lang w:val="ru-RU" w:eastAsia="en-US" w:bidi="ar-SA"/>
              </w:rPr>
              <w:t>к письму Минтранса России</w:t>
            </w:r>
          </w:p>
        </w:tc>
      </w:tr>
    </w:tbl>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t>УТОЧНЕНИЕ СВОДНОЙ ТАБЛИЦЫ ПО ОЦЕНКЕ ДОСТИЖЕНИЯ ПОКАЗАТЕЛЕЙ</w:t>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t xml:space="preserve">И ОЖИДАЕМЫХ РЕЗУЛЬТАТОВ РАЗВИТИЯ КОНКУРЕНЦИИ </w:t>
      </w:r>
    </w:p>
    <w:p>
      <w:pPr>
        <w:pStyle w:val="Normal"/>
        <w:jc w:val="center"/>
        <w:rPr/>
      </w:pPr>
      <w:r>
        <w:rPr>
          <w:rFonts w:cs="Times New Roman" w:ascii="Times New Roman" w:hAnsi="Times New Roman"/>
          <w:sz w:val="24"/>
          <w:szCs w:val="24"/>
        </w:rPr>
        <w:t>(в части показателей транспортных услуг)</w:t>
      </w:r>
    </w:p>
    <w:tbl>
      <w:tblPr>
        <w:tblStyle w:val="a3"/>
        <w:tblW w:w="1460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595"/>
        <w:gridCol w:w="1542"/>
        <w:gridCol w:w="1866"/>
        <w:gridCol w:w="4961"/>
        <w:gridCol w:w="5636"/>
      </w:tblGrid>
      <w:tr>
        <w:trPr>
          <w:tblHeader w:val="true"/>
        </w:trPr>
        <w:tc>
          <w:tcPr>
            <w:tcW w:w="595" w:type="dxa"/>
            <w:tcBorders/>
          </w:tcPr>
          <w:p>
            <w:pPr>
              <w:pStyle w:val="Normal"/>
              <w:widowControl w:val="false"/>
              <w:suppressAutoHyphens w:val="true"/>
              <w:spacing w:lineRule="auto" w:line="240" w:before="0" w:after="0"/>
              <w:ind w:hanging="12"/>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 xml:space="preserve">№ </w:t>
            </w:r>
            <w:r>
              <w:rPr>
                <w:rFonts w:eastAsia="Calibri" w:cs="Times New Roman" w:ascii="Times New Roman" w:hAnsi="Times New Roman"/>
                <w:b/>
                <w:kern w:val="0"/>
                <w:sz w:val="22"/>
                <w:szCs w:val="22"/>
                <w:lang w:val="ru-RU" w:eastAsia="en-US" w:bidi="ar-SA"/>
              </w:rPr>
              <w:t>п.п.</w:t>
            </w:r>
          </w:p>
        </w:tc>
        <w:tc>
          <w:tcPr>
            <w:tcW w:w="1542" w:type="dxa"/>
            <w:tcBorders/>
          </w:tcPr>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Пункт Нацплана / «дорожной карты»</w:t>
            </w:r>
          </w:p>
        </w:tc>
        <w:tc>
          <w:tcPr>
            <w:tcW w:w="1866" w:type="dxa"/>
            <w:tcBorders/>
            <w:vAlign w:val="center"/>
          </w:tcPr>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Ответственный исполнитель/</w:t>
            </w:r>
          </w:p>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соисполнитель</w:t>
            </w:r>
          </w:p>
        </w:tc>
        <w:tc>
          <w:tcPr>
            <w:tcW w:w="4961" w:type="dxa"/>
            <w:tcBorders/>
            <w:vAlign w:val="center"/>
          </w:tcPr>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Ключевые показатели/ ожидаемые результаты</w:t>
            </w:r>
          </w:p>
        </w:tc>
        <w:tc>
          <w:tcPr>
            <w:tcW w:w="5636" w:type="dxa"/>
            <w:tcBorders/>
            <w:vAlign w:val="center"/>
          </w:tcPr>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ru-RU" w:eastAsia="en-US" w:bidi="ar-SA"/>
              </w:rPr>
              <w:t xml:space="preserve">Анализ и оценка степени достижения ожидаемого результата в 2020 году </w:t>
            </w:r>
          </w:p>
        </w:tc>
      </w:tr>
      <w:tr>
        <w:trPr/>
        <w:tc>
          <w:tcPr>
            <w:tcW w:w="14600" w:type="dxa"/>
            <w:gridSpan w:val="5"/>
            <w:tcBorders/>
          </w:tcPr>
          <w:p>
            <w:pPr>
              <w:pStyle w:val="Normal"/>
              <w:widowControl w:val="false"/>
              <w:suppressAutoHyphens w:val="true"/>
              <w:spacing w:lineRule="auto" w:line="240" w:before="0" w:after="0"/>
              <w:jc w:val="center"/>
              <w:rPr>
                <w:rFonts w:ascii="Times New Roman" w:hAnsi="Times New Roman" w:cs="Times New Roman"/>
                <w:b/>
                <w:b/>
                <w:highlight w:val="yellow"/>
              </w:rPr>
            </w:pPr>
            <w:r>
              <w:rPr>
                <w:rFonts w:eastAsia="Calibri" w:cs="Times New Roman" w:ascii="Times New Roman" w:hAnsi="Times New Roman"/>
                <w:b/>
                <w:kern w:val="0"/>
                <w:sz w:val="22"/>
                <w:szCs w:val="22"/>
                <w:lang w:val="ru-RU" w:eastAsia="en-US" w:bidi="ar-SA"/>
              </w:rPr>
              <w:t>Транспортные услуги</w:t>
            </w:r>
          </w:p>
        </w:tc>
      </w:tr>
      <w:tr>
        <w:trPr/>
        <w:tc>
          <w:tcPr>
            <w:tcW w:w="595" w:type="dxa"/>
            <w:tcBorders/>
          </w:tcPr>
          <w:p>
            <w:pPr>
              <w:pStyle w:val="Normal"/>
              <w:widowControl w:val="false"/>
              <w:suppressAutoHyphens w:val="true"/>
              <w:spacing w:lineRule="auto" w:line="240" w:before="0" w:after="0"/>
              <w:jc w:val="left"/>
              <w:rPr>
                <w:rFonts w:eastAsia="Calibri"/>
                <w:kern w:val="0"/>
                <w:sz w:val="22"/>
                <w:szCs w:val="22"/>
                <w:lang w:val="ru-RU" w:eastAsia="en-US" w:bidi="ar-SA"/>
              </w:rPr>
            </w:pPr>
            <w:r>
              <w:rPr>
                <w:rFonts w:eastAsia="Calibri" w:cs="Times New Roman" w:ascii="Times New Roman" w:hAnsi="Times New Roman"/>
                <w:bCs/>
                <w:iCs/>
                <w:kern w:val="0"/>
                <w:sz w:val="22"/>
                <w:szCs w:val="22"/>
                <w:lang w:val="ru-RU" w:eastAsia="en-US" w:bidi="ar-SA"/>
              </w:rPr>
              <w:t>6.</w:t>
            </w:r>
          </w:p>
        </w:tc>
        <w:tc>
          <w:tcPr>
            <w:tcW w:w="1542"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Абз. 1 п. 11 приложения к Нацплану</w:t>
            </w:r>
          </w:p>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rPr>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 26 раздела </w:t>
            </w:r>
            <w:r>
              <w:rPr>
                <w:rFonts w:eastAsia="Calibri" w:cs="Times New Roman" w:ascii="Times New Roman" w:hAnsi="Times New Roman"/>
                <w:kern w:val="0"/>
                <w:sz w:val="22"/>
                <w:szCs w:val="22"/>
                <w:lang w:val="en-US" w:eastAsia="en-US" w:bidi="ar-SA"/>
              </w:rPr>
              <w:t>I</w:t>
            </w:r>
            <w:r>
              <w:rPr>
                <w:rFonts w:eastAsia="Calibri" w:cs="Times New Roman" w:ascii="Times New Roman" w:hAnsi="Times New Roman"/>
                <w:kern w:val="0"/>
                <w:sz w:val="22"/>
                <w:szCs w:val="22"/>
                <w:lang w:val="ru-RU" w:eastAsia="en-US" w:bidi="ar-SA"/>
              </w:rPr>
              <w:t xml:space="preserve"> «дорожной карты»</w:t>
            </w:r>
          </w:p>
        </w:tc>
        <w:tc>
          <w:tcPr>
            <w:tcW w:w="1866" w:type="dxa"/>
            <w:tcBorders/>
          </w:tcPr>
          <w:p>
            <w:pPr>
              <w:pStyle w:val="Normal"/>
              <w:widowControl w:val="false"/>
              <w:suppressAutoHyphens w:val="true"/>
              <w:spacing w:lineRule="auto" w:line="240" w:before="0" w:after="0"/>
              <w:jc w:val="left"/>
              <w:rPr>
                <w:rFonts w:ascii="Times New Roman" w:hAnsi="Times New Roman" w:cs="Times New Roman"/>
                <w:bCs/>
                <w:iCs/>
              </w:rPr>
            </w:pPr>
            <w:r>
              <w:rPr>
                <w:rFonts w:eastAsia="Calibri" w:cs="Times New Roman" w:ascii="Times New Roman" w:hAnsi="Times New Roman"/>
                <w:bCs/>
                <w:iCs/>
                <w:kern w:val="0"/>
                <w:sz w:val="22"/>
                <w:szCs w:val="22"/>
                <w:lang w:val="ru-RU" w:eastAsia="en-US" w:bidi="ar-SA"/>
              </w:rPr>
              <w:t>Минтранс России,</w:t>
            </w:r>
          </w:p>
          <w:p>
            <w:pPr>
              <w:pStyle w:val="Normal"/>
              <w:widowControl w:val="false"/>
              <w:suppressAutoHyphens w:val="true"/>
              <w:spacing w:lineRule="auto" w:line="240" w:before="0" w:after="0"/>
              <w:jc w:val="left"/>
              <w:rPr>
                <w:rFonts w:ascii="Times New Roman" w:hAnsi="Times New Roman" w:cs="Times New Roman"/>
                <w:bCs/>
                <w:iCs/>
              </w:rPr>
            </w:pPr>
            <w:r>
              <w:rPr>
                <w:rFonts w:eastAsia="Calibri" w:cs="Times New Roman" w:ascii="Times New Roman" w:hAnsi="Times New Roman"/>
                <w:bCs/>
                <w:iCs/>
                <w:kern w:val="0"/>
                <w:sz w:val="22"/>
                <w:szCs w:val="22"/>
                <w:lang w:val="ru-RU" w:eastAsia="en-US" w:bidi="ar-SA"/>
              </w:rPr>
              <w:t>ФАС России</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c>
          <w:tcPr>
            <w:tcW w:w="4961"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развитие добросовестной конкуренции на рынке грузовых перевозок (автомобильный, железнодорожный, воздушный и водный виды транспорта) и связанных с ними услуг.</w:t>
            </w:r>
          </w:p>
          <w:p>
            <w:pPr>
              <w:pStyle w:val="Normal"/>
              <w:widowControl w:val="false"/>
              <w:suppressAutoHyphens w:val="true"/>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5636" w:type="dxa"/>
            <w:tcBorders/>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ru-RU" w:eastAsia="en-US" w:bidi="ar-SA"/>
              </w:rPr>
              <w:t>Автомобильный транспорт</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В сфере перевозок грузов автомобильным транспортом сформировался конкурентный рынок транспортных услуг. Перевозки грузов автомобильным транспортом в соответствии с законодательством Российской Федерации не относятся к услугам субъектов естественных монополий.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Тарифы на перевозку грузов устанавливаются перевозчиками в рамках договорных отношений.</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Объем перевезенного груза автомобильным транспортом, включая транспорт, находящийся в собственности малого предпринимательства (физических и юридических лиц) на коммерческой основе в 2020 году составил 1 441,9 млн тонн, что на</w:t>
              <w:br/>
              <w:t xml:space="preserve">5,5 % ниже показателя 2019 года. При этом коммерческий грузооборот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2020 году снизился по сравнению с 2019 годом на 1,4%. Снижение данных показателей связано с распространением в 2020 году новой коронавирусной инфекции и вводимыми их-за этого различными ограничениями.</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С учетом вводимых в различных странах ограничений, связанных с распространением коронавирусной инфекции, сокращение объемов международных автомобильных перевозок грузов в отдельные периоды 2020 года по ряду направлений достигало 20%, а на китайском – превышало 50%.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По мере снятия ограничений происходило постепенное восстановление объемов перевозок, но они так и не достигли докризисных значений – в 2020 году они сократились на 6% по сравнению с 2019 годом и составили 33,7 млн. тонн. При этом объемы импортных перевозок снизились на 8,2%, а экспортных перевозок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на 3,9%. Перевозки экспортных грузов составили 52 % от общего объема перевозок. Доля российских перевозчиков увеличилась до 46,1%.</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Активная часть отечественных международных автоперевозчиков, работающих в постоянном режиме, – это порядка 4,5 тыс. компаний, обладающих 50 тыс. транспортных средств. Удостоверения допуска к международным автомобильным перевозкам имеют 19,8 тыс.  российских транспортных компаний (юридические лица и индивидуальные предприниматели), использующих на международных автомобильных перевозках транспортные средства, на которые выданы карточки допуска в количестве 157,7 тыс. В том числе с 1 января по 31 декабря 2020 г. оформлено удостоверений допуска для 10,2 тыс. российских транспортных компаний и выдано 77,5 тыс. карточек допуска на транспортные средства.</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Крупные предприятия (при автопарке свыше 20 единиц) составляют менее 20 %. Основу составляет малый и средний бизнес (свыше 80% компаний с парком подвижного состава не более 20 автомобилей).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настоящее время между Российской Федерацией и другими странами действуют 54 соглашения о международном автомобильном сообщении.</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2020 году количество полученных для российских перевозчиков разрешений составило 1 млн 582 тыс (100,5% к уровню 2019 года, в 2019 году количество таких разрешений составило 1 млн. 574 тыс.).</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По имеющимся предварительным данным в 2020 году в/из России осуществлено российскими перевозчиками - 916 тыс. рейсов с грузом и иностранными перевозчиками - 1096 тыс. рейсов.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Таким образом, рынки услуг по перевозкам грузов автомобильным транспортом является  высококонкурентными. </w:t>
            </w:r>
          </w:p>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ru-RU" w:eastAsia="en-US" w:bidi="ar-SA"/>
              </w:rPr>
              <w:t>Железнодорожный транспорт</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В результате реформирования железнодорожного транспорта в Российской Федерации в сфере грузовых перевозок сформирована структура рынка, в рамках которой существуют два сегмента:</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естественно-монопольный сегмент – перевозка грузов железнодорожным транспортом, представлен перевозчиками, действующими на принадлежащей им инфраструктуре (ОАО «РЖД», ФГУП «КЖД»);</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 xml:space="preserve">конкурентный сегмент – услуги по предоставлению грузовых вагонов, контейнеров для перевозок, вагоноремонтная деятельность и деятельность по капитальному ремонту локомотивов и т.д.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Наиболее существенные изменения за время реформирования в структуре участников произошли на рынке оперирования грузовыми вагонами.</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 xml:space="preserve">На 1 января 2021 г. свыше 93,0 % парка грузовых железнодорожных вагонов принадлежит независимым от холдинга «РЖД» частным собственникам.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 xml:space="preserve">На рынке оперирования грузовыми вагонами функционирует развитый высококонкурентный рынок.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 xml:space="preserve">Рыночная концентрация в сегменте оперирования с 2003 года неуклонно снижается. Так, например, в сегменте оперирования полувагонами индекс Херфиндаля-Хиршмана снизился с 8013 в 2003 году до 575 в 2015 году и 464 в 2020 году, коэффициент рыночной концентрации в сегменте оперирования полувагонами (CR-3) снизился с 92,9% в 2003 году до 30,9% в 2015 году и 25,9% в 2020 году. Коэффициенты рыночной концентрации в сегментах оперирования цистернами и платформами также снизились, соответственно, с 59,6% и 91,1% в 2003 году до 34,4% и 39,7% в 2020 году.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eastAsia="Calibri" w:cs="Times New Roman" w:ascii="Times New Roman" w:hAnsi="Times New Roman"/>
                <w:i w:val="false"/>
                <w:iCs w:val="false"/>
                <w:kern w:val="0"/>
                <w:sz w:val="22"/>
                <w:szCs w:val="22"/>
                <w:lang w:val="ru-RU" w:eastAsia="en-US" w:bidi="ar-SA"/>
              </w:rPr>
              <w:t>С целью повышения эффективности функционирования транспортно-логистической инфраструктуры Российской Федерации в ОАО «РЖД» организована перевозка грузов с применением электронных накладных, что позволяет обеспечить хранение и обработку данных обо всех грузовых железнодорожных перевозках, осуществляемых по инфраструктуре железнодорожного транспорта общего пользования. Агрегированные данные о грузовых железнодорожных перевозках на системной основе передаются в Росстат и при необходимости в органы государственной власти Российской Федерации.</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ru-RU" w:eastAsia="en-US" w:bidi="ar-SA"/>
              </w:rPr>
              <w:t>Воздушный транспорт</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сфере грузовых перевозок воздушным транспортом сформировался конкурентный рынок транспортных услуг.</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Объемы перевезенных грузов и почты в 2020 году остались практически на уровне аналогичного периода прошлого года и составили</w:t>
            </w:r>
            <w:r>
              <w:rPr>
                <w:rFonts w:eastAsia="Calibri" w:cs="Times New Roman" w:ascii="Times New Roman" w:hAnsi="Times New Roman"/>
                <w:kern w:val="0"/>
                <w:sz w:val="22"/>
                <w:szCs w:val="22"/>
                <w:shd w:fill="auto" w:val="clear"/>
                <w:lang w:val="ru-RU" w:eastAsia="en-US" w:bidi="ar-SA"/>
              </w:rPr>
              <w:t xml:space="preserve"> 1,174</w:t>
            </w:r>
            <w:r>
              <w:rPr>
                <w:rFonts w:eastAsia="Calibri" w:cs="Times New Roman" w:ascii="Times New Roman" w:hAnsi="Times New Roman" w:eastAsiaTheme="minorHAnsi"/>
                <w:kern w:val="0"/>
                <w:sz w:val="22"/>
                <w:szCs w:val="22"/>
                <w:shd w:fill="auto" w:val="clear"/>
                <w:lang w:val="ru-RU" w:eastAsia="en-US" w:bidi="ar-SA"/>
              </w:rPr>
              <w:t xml:space="preserve"> млн  тонн.</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Лидерами отрасли в данном сегменте являются: «ЭйрБриджКарго» (46 % от общего объема перевезенного груза и почты), ПАО «Аэрофлот» (14 %), «Скай Гейтс Эйрлайнс» (7 %) и Акционерное общество «Авиакомпания «Сибирь» (5 %).</w:t>
            </w:r>
          </w:p>
          <w:p>
            <w:pPr>
              <w:pStyle w:val="Normal"/>
              <w:widowControl w:val="false"/>
              <w:suppressAutoHyphens w:val="true"/>
              <w:spacing w:lineRule="auto" w:line="240" w:before="0" w:after="0"/>
              <w:jc w:val="both"/>
              <w:rPr>
                <w:rFonts w:ascii="Times New Roman" w:hAnsi="Times New Roman" w:cs="Times New Roman"/>
                <w:strike/>
                <w:highlight w:val="red"/>
              </w:rPr>
            </w:pPr>
            <w:r>
              <w:rPr>
                <w:rFonts w:eastAsia="Calibri" w:cs="Times New Roman" w:ascii="Times New Roman" w:hAnsi="Times New Roman"/>
                <w:kern w:val="0"/>
                <w:sz w:val="22"/>
                <w:szCs w:val="22"/>
                <w:lang w:val="ru-RU" w:eastAsia="en-US" w:bidi="ar-SA"/>
              </w:rPr>
              <w:t xml:space="preserve">По данным Росавиации в 2020 году перевозки грузов воздушным транспортом осуществляли 34 крупных </w:t>
              <w:br/>
              <w:t>и средних предприятия.</w:t>
            </w:r>
            <w:r>
              <w:rPr>
                <w:rFonts w:eastAsia="Calibri" w:cs="Times New Roman" w:ascii="Times New Roman" w:hAnsi="Times New Roman"/>
                <w:strike/>
                <w:kern w:val="0"/>
                <w:sz w:val="22"/>
                <w:szCs w:val="22"/>
                <w:highlight w:val="red"/>
                <w:lang w:val="ru-RU" w:eastAsia="en-US" w:bidi="ar-SA"/>
              </w:rPr>
              <w:t xml:space="preserve"> </w:t>
            </w:r>
          </w:p>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ru-RU" w:eastAsia="en-US" w:bidi="ar-SA"/>
              </w:rPr>
              <w:t>Водный транспорт</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Услуги по перевозке грузов морским и внутреннем водном транспортом в соответствии с законодательством Российской Федерации не относятся к услугам субъектов естественных монополий.</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Падение спроса в мировой экономике в связи с COVID-19 привело к усилению межпортовой конкуренции за привлечение грузовладельцев.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2020 году сохранилась негативная тенденция оттока массовых грузов, прежде всего нефтепродуктов, с внутреннего водного транспорта на железнодорожный. Существующие схемы перевозок наливных грузов, несмотря на расположение предприятий нефтепереработки в непосредственной близости от реки, создаются без участия внутреннего водного транспорта.</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Уход традиционных для речного флота массовых грузов в основном обусловлен, наличием лимитирующих участков, препятствующих увеличению пропускной способности внутренних водных путей, а также сезонностью эксплуатации флота.</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В условиях ограниченной пропускной способности автомобильных и железных дорог наиболее полное использование потенциала внутренних водных путей, который является самым экономичным, экологичным, эффективным видом транспорта, может стать существенным фактором снижения негативного воздействия транспорта на окружающую среду, снижения расходов на инфраструктуру, уменьшения транспортной составляющей в цене товара.</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К увеличению перевозок нефтепродуктов внутренним водным транспортом, по мнению Минтранса России может привести принятие следующих мер:</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отмена понижающих коэффициентов к железнодорожному тарифу на перевозку нефтепродуктов в период навигации;</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снятие ограничения межвидовой конкуренции железнодорожного транспорта с внутренним водным транспортом, которое выражается в увязывании применения понижающих коэффициентов к железнодорожному тарифу на перевозку нефтепродуктов с объемами перевозки, рассчитанными таким образом, что годовой объем производства нефтеперерабатывающих заводов почти совпадает с объемом отгрузки трубопроводом и железнодорожным транспортом.</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Росморречфлот последовательно работает над повышением конкурентных преимуществ внутреннего водного транспорта, снижая количество лимитирующих участков для судов (дноуглубительные работы, строительство и реконструкция гидротехнических сооружений).</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На рынке услуг в речных портах Российской Федерации существует устойчивая внутривидовая и межвидовая конкуренция. На территории крупных речных портов деятельность по обслуживанию судов, пассажиров осуществляют многочисленные хозяйствующие субъекты. Территориально порты и отдельно стоящие причалы могут располагаться в непосредственной близости и оказывать аналогичные услуги: предоставление судам рейдов якорных стоянок, защитных сооружений и причалов порта, обеспечение лоцманской проводки судов, комплексное обслуживание флота, услуги буксиров, погрузка и выгрузка грузов, обслуживание пассажиров.</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По результатам проведенного анализа погрузочно-разгрузочной деятельности в морских портах районов Крайнего Севера и приравненных к ним местностях ФАС России, Минтрансом России и Росморречфлотом принято решение о целесообразности осуществлять государственное регулирование услуг по погрузке, выгрузке, хранению грузов в морских портах районов Крайнего Севера и приравненных к ним местностях в морских портах, где отсутствует в том числе межпортовая конкуренция внутри одного бассейна, обеспечивается ввоз социально значимых товаров народного потребления, в том числе «северный завоз», а также морские порты, не являющиеся специализированными морскими портами, построенными за счет частных инвестиций.</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Приказом ФАС России от 13 июля 2020 г. № 643/20 утвержден перечень морских портов, в отношении которых в установленном порядке выявлено отсутствие конкуренции на рынке услуг, связанных с предоставлением причалов, погрузкой, выгрузкой, хранением грузов, расположенных в районах Крайнего Севера и приравненных к ним местностях. </w:t>
            </w:r>
          </w:p>
        </w:tc>
      </w:tr>
      <w:tr>
        <w:trPr/>
        <w:tc>
          <w:tcPr>
            <w:tcW w:w="595" w:type="dxa"/>
            <w:tcBorders/>
          </w:tcPr>
          <w:p>
            <w:pPr>
              <w:pStyle w:val="Normal"/>
              <w:widowControl w:val="false"/>
              <w:suppressAutoHyphens w:val="true"/>
              <w:spacing w:lineRule="auto" w:line="240" w:before="0" w:after="0"/>
              <w:jc w:val="left"/>
              <w:rPr>
                <w:rFonts w:eastAsia="Calibri"/>
                <w:kern w:val="0"/>
                <w:sz w:val="22"/>
                <w:szCs w:val="22"/>
                <w:lang w:val="ru-RU" w:eastAsia="en-US" w:bidi="ar-SA"/>
              </w:rPr>
            </w:pPr>
            <w:r>
              <w:rPr>
                <w:rFonts w:eastAsia="Calibri" w:cs="Times New Roman" w:ascii="Times New Roman" w:hAnsi="Times New Roman"/>
                <w:kern w:val="0"/>
                <w:sz w:val="22"/>
                <w:szCs w:val="22"/>
                <w:lang w:val="ru-RU" w:eastAsia="en-US" w:bidi="ar-SA"/>
              </w:rPr>
              <w:t>7.</w:t>
            </w:r>
          </w:p>
        </w:tc>
        <w:tc>
          <w:tcPr>
            <w:tcW w:w="1542"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Абз. 2 п. 11 приложения к Нацплану</w:t>
            </w:r>
          </w:p>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rPr>
            </w:r>
          </w:p>
        </w:tc>
        <w:tc>
          <w:tcPr>
            <w:tcW w:w="1866" w:type="dxa"/>
            <w:tcBorders/>
          </w:tcPr>
          <w:p>
            <w:pPr>
              <w:pStyle w:val="Normal"/>
              <w:widowControl w:val="false"/>
              <w:suppressAutoHyphens w:val="true"/>
              <w:spacing w:lineRule="auto" w:line="240" w:before="0" w:after="0"/>
              <w:jc w:val="left"/>
              <w:rPr>
                <w:rFonts w:ascii="Times New Roman" w:hAnsi="Times New Roman" w:cs="Times New Roman"/>
                <w:bCs/>
                <w:iCs/>
              </w:rPr>
            </w:pPr>
            <w:r>
              <w:rPr>
                <w:rFonts w:cs="Times New Roman" w:ascii="Times New Roman" w:hAnsi="Times New Roman"/>
                <w:bCs/>
                <w:iCs/>
              </w:rPr>
            </w:r>
          </w:p>
        </w:tc>
        <w:tc>
          <w:tcPr>
            <w:tcW w:w="4961"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Дальнейшее развитие институтов взаимодействия государства и бизнеса (в том числе в рамках совета рынка транспортных услуг).</w:t>
            </w:r>
          </w:p>
        </w:tc>
        <w:tc>
          <w:tcPr>
            <w:tcW w:w="5636" w:type="dxa"/>
            <w:vMerge w:val="restart"/>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В соответствии с Концепцией создания и развития механизмов общественного контроля за деятельностью субъектов естественных монополий, утвержденной распоряжением Правительства Российской Федерации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от 19.09.2013 № 1689-р, в рамках формирования механизма общественного контроля за деятельностью субъектов естественных монополий в сфере транспорта и обеспечения баланса интересов потребителей</w:t>
              <w:br/>
              <w:t xml:space="preserve">и субъектов естественных монополий, обеспечивающего доступность реализуемого ими товара (работы, услуги) для потребителей, </w:t>
            </w:r>
            <w:r>
              <w:rPr>
                <w:rFonts w:eastAsia="Calibri" w:cs="Times New Roman" w:ascii="Times New Roman" w:hAnsi="Times New Roman"/>
                <w:kern w:val="0"/>
                <w:sz w:val="22"/>
                <w:szCs w:val="22"/>
                <w:shd w:fill="auto" w:val="clear"/>
                <w:lang w:val="ru-RU" w:eastAsia="en-US" w:bidi="ar-SA"/>
              </w:rPr>
              <w:t>п</w:t>
            </w:r>
            <w:r>
              <w:rPr>
                <w:rFonts w:eastAsia="Calibri" w:cs="Times New Roman" w:ascii="Times New Roman" w:hAnsi="Times New Roman" w:eastAsiaTheme="minorHAnsi"/>
                <w:kern w:val="0"/>
                <w:sz w:val="22"/>
                <w:szCs w:val="22"/>
                <w:shd w:fill="auto" w:val="clear"/>
                <w:lang w:val="ru-RU" w:eastAsia="en-US" w:bidi="ar-SA"/>
              </w:rPr>
              <w:t>ри Правительственной комиссии по транспорту</w:t>
            </w:r>
            <w:r>
              <w:rPr>
                <w:rFonts w:eastAsia="Calibri" w:cs="Times New Roman" w:ascii="Times New Roman" w:hAnsi="Times New Roman"/>
                <w:kern w:val="0"/>
                <w:sz w:val="22"/>
                <w:szCs w:val="22"/>
                <w:lang w:val="ru-RU" w:eastAsia="en-US" w:bidi="ar-SA"/>
              </w:rPr>
              <w:t xml:space="preserve"> созданы и функциониру</w:t>
            </w:r>
            <w:r>
              <w:rPr>
                <w:rFonts w:eastAsia="Calibri" w:cs="Times New Roman" w:ascii="Times New Roman" w:hAnsi="Times New Roman" w:eastAsiaTheme="minorHAnsi"/>
                <w:color w:val="auto"/>
                <w:kern w:val="0"/>
                <w:sz w:val="22"/>
                <w:szCs w:val="22"/>
                <w:lang w:val="ru-RU" w:eastAsia="en-US" w:bidi="ar-SA"/>
              </w:rPr>
              <w:t>ю</w:t>
            </w:r>
            <w:r>
              <w:rPr>
                <w:rFonts w:eastAsia="Calibri" w:cs="Times New Roman" w:ascii="Times New Roman" w:hAnsi="Times New Roman"/>
                <w:kern w:val="0"/>
                <w:sz w:val="22"/>
                <w:szCs w:val="22"/>
                <w:lang w:val="ru-RU" w:eastAsia="en-US" w:bidi="ar-SA"/>
              </w:rPr>
              <w:t xml:space="preserve">т Советы потребителей по вопросам деятельности </w:t>
            </w:r>
            <w:r>
              <w:rPr>
                <w:rFonts w:eastAsia="Calibri" w:cs="Times New Roman" w:ascii="Times New Roman" w:hAnsi="Times New Roman" w:eastAsiaTheme="minorHAnsi"/>
                <w:color w:val="auto"/>
                <w:kern w:val="0"/>
                <w:sz w:val="22"/>
                <w:szCs w:val="22"/>
                <w:lang w:val="ru-RU" w:eastAsia="en-US" w:bidi="ar-SA"/>
              </w:rPr>
              <w:t>ОАО</w:t>
            </w:r>
            <w:r>
              <w:rPr>
                <w:rFonts w:eastAsia="Calibri" w:cs="Times New Roman" w:ascii="Times New Roman" w:hAnsi="Times New Roman"/>
                <w:kern w:val="0"/>
                <w:sz w:val="22"/>
                <w:szCs w:val="22"/>
                <w:lang w:val="ru-RU" w:eastAsia="en-US" w:bidi="ar-SA"/>
              </w:rPr>
              <w:t xml:space="preserve"> «Российские железные дороги», ФГУП Росморпорт, ФГУП «Госкорпорация ОрВД» и </w:t>
            </w:r>
            <w:r>
              <w:rPr>
                <w:rFonts w:eastAsia="Calibri" w:cs="Times New Roman" w:ascii="Times New Roman" w:hAnsi="Times New Roman" w:eastAsiaTheme="minorHAnsi"/>
                <w:color w:val="auto"/>
                <w:kern w:val="0"/>
                <w:sz w:val="22"/>
                <w:szCs w:val="22"/>
                <w:lang w:val="ru-RU" w:eastAsia="en-US" w:bidi="ar-SA"/>
              </w:rPr>
              <w:t>их</w:t>
            </w:r>
            <w:r>
              <w:rPr>
                <w:rFonts w:eastAsia="Calibri" w:cs="Times New Roman" w:ascii="Times New Roman" w:hAnsi="Times New Roman"/>
                <w:kern w:val="0"/>
                <w:sz w:val="22"/>
                <w:szCs w:val="22"/>
                <w:lang w:val="ru-RU" w:eastAsia="en-US" w:bidi="ar-SA"/>
              </w:rPr>
              <w:t xml:space="preserve"> дочерних зависимых обществ.</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Цель деятельности Совета  потребителей по вопросам деятельности открытого акционерного общества «Российские железные дороги» и его дочерних зависимых обществ – достижение баланса интересов различных групп потребителей и ОАО «РЖД» по вопросам инвестиционных программ, тарифной политики, повышения качества услуг в сфере пассажирских и грузовых железнодорожных перевозок, обеспечение доступности предоставляемых ОАО «РЖД» услуг для потребителей, доведение до сведения Правительственной комиссии по транспорту, ФАС России, Минтранса России, Росжелдора и других органов исполнительной власти позиции потребителей по инвестиционной программе ОАО «РЖД», формированию системы ключевых показателей эффективности деятельности организации, сбалансированной тарифной политики, обеспечению доступности предоставляемых услуг со стороны организации в интересах существующих и будущих потребителей, предложений по эффективному функционированию мощностей и объектов транспортной инфраструктуры в Российской Федерации. </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eastAsiaTheme="minorHAnsi"/>
                <w:kern w:val="0"/>
                <w:sz w:val="22"/>
                <w:szCs w:val="22"/>
                <w:shd w:fill="auto" w:val="clear"/>
                <w:lang w:val="ru-RU" w:eastAsia="en-US" w:bidi="ar-SA"/>
              </w:rPr>
              <w:t>Члены Совета потребителей принимают участие в совместных совещаниях и мероприятиях, проводимых федеральными органами исполнительной власти, Экспертным советом при Правительстве Российской Федерации, РСПП, участвуют в работе Правления ФАС России. Проводятся очные, очно-заочные заседаний Совета потребителей с приглашением представителей</w:t>
            </w:r>
            <w:r>
              <w:rPr>
                <w:rFonts w:eastAsia="Calibri" w:cs="Times New Roman" w:ascii="Times New Roman" w:hAnsi="Times New Roman"/>
                <w:kern w:val="0"/>
                <w:sz w:val="22"/>
                <w:szCs w:val="22"/>
                <w:lang w:val="ru-RU" w:eastAsia="en-US" w:bidi="ar-SA"/>
              </w:rPr>
              <w:t xml:space="preserve"> ФОИВ, на которых обсуждаются проблемы транспортной отрасли и формируются рекомендации по их решению.</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Для обеспечения баланса интересов участников рынка железнодорожных перевозок на постоянной основе осуществляется совместная работа  Совета потребителей по вопросам деятельности открытого акционерного общества «Российские железные дороги» и его дочерних зависимых обществ, СРО Союз операторов железнодорожного транспорта, экспертным сообществом.</w:t>
            </w:r>
          </w:p>
        </w:tc>
      </w:tr>
      <w:tr>
        <w:trPr/>
        <w:tc>
          <w:tcPr>
            <w:tcW w:w="595" w:type="dxa"/>
            <w:tcBorders/>
          </w:tcPr>
          <w:p>
            <w:pPr>
              <w:pStyle w:val="Normal"/>
              <w:widowControl w:val="false"/>
              <w:suppressAutoHyphens w:val="true"/>
              <w:spacing w:lineRule="auto" w:line="240" w:before="0" w:after="0"/>
              <w:jc w:val="left"/>
              <w:rPr>
                <w:rFonts w:eastAsia="Calibri"/>
                <w:kern w:val="0"/>
                <w:sz w:val="22"/>
                <w:szCs w:val="22"/>
                <w:lang w:val="ru-RU" w:eastAsia="en-US" w:bidi="ar-SA"/>
              </w:rPr>
            </w:pPr>
            <w:r>
              <w:rPr>
                <w:rFonts w:eastAsia="Calibri" w:cs="Times New Roman" w:ascii="Times New Roman" w:hAnsi="Times New Roman"/>
                <w:kern w:val="0"/>
                <w:sz w:val="22"/>
                <w:szCs w:val="22"/>
                <w:lang w:val="ru-RU" w:eastAsia="en-US" w:bidi="ar-SA"/>
              </w:rPr>
              <w:t>8.</w:t>
            </w:r>
          </w:p>
        </w:tc>
        <w:tc>
          <w:tcPr>
            <w:tcW w:w="1542"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Пп. 27 п. 4 раздела </w:t>
            </w:r>
            <w:r>
              <w:rPr>
                <w:rFonts w:eastAsia="Calibri" w:cs="Times New Roman" w:ascii="Times New Roman" w:hAnsi="Times New Roman"/>
                <w:kern w:val="0"/>
                <w:sz w:val="22"/>
                <w:szCs w:val="22"/>
                <w:lang w:val="en-US" w:eastAsia="en-US" w:bidi="ar-SA"/>
              </w:rPr>
              <w:t>I</w:t>
            </w:r>
            <w:r>
              <w:rPr>
                <w:rFonts w:eastAsia="Calibri" w:cs="Times New Roman" w:ascii="Times New Roman" w:hAnsi="Times New Roman"/>
                <w:kern w:val="0"/>
                <w:sz w:val="22"/>
                <w:szCs w:val="22"/>
                <w:lang w:val="ru-RU" w:eastAsia="en-US" w:bidi="ar-SA"/>
              </w:rPr>
              <w:t xml:space="preserve"> «дорожной карты»</w:t>
            </w:r>
          </w:p>
        </w:tc>
        <w:tc>
          <w:tcPr>
            <w:tcW w:w="1866"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Минтранс России,</w:t>
            </w:r>
          </w:p>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ФАС России</w:t>
            </w:r>
          </w:p>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rPr>
            </w:r>
          </w:p>
        </w:tc>
        <w:tc>
          <w:tcPr>
            <w:tcW w:w="4961"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Развитие институтов взаимодействия государства и бизнеса (в том числе в рамках институционализации Совета потребителей по вопросам деятельности открытого акционерного общества «Российские железные дороги» и его дочерних зависимых обществ и формирование на его базе совета рынка железнодорожных перевозок).</w:t>
            </w:r>
          </w:p>
        </w:tc>
        <w:tc>
          <w:tcPr>
            <w:tcW w:w="5636" w:type="dxa"/>
            <w:vMerge w:val="continue"/>
            <w:tcBorders/>
          </w:tcPr>
          <w:p>
            <w:pPr>
              <w:pStyle w:val="Normal"/>
              <w:widowControl w:val="false"/>
              <w:suppressAutoHyphens w:val="true"/>
              <w:spacing w:lineRule="auto" w:line="240" w:before="0" w:after="0"/>
              <w:jc w:val="both"/>
              <w:rPr>
                <w:highlight w:val="yellow"/>
              </w:rPr>
            </w:pPr>
            <w:r>
              <w:rPr>
                <w:highlight w:val="yellow"/>
              </w:rPr>
            </w:r>
          </w:p>
        </w:tc>
      </w:tr>
      <w:tr>
        <w:trPr/>
        <w:tc>
          <w:tcPr>
            <w:tcW w:w="595" w:type="dxa"/>
            <w:tcBorders/>
          </w:tcPr>
          <w:p>
            <w:pPr>
              <w:pStyle w:val="Normal"/>
              <w:widowControl w:val="false"/>
              <w:suppressAutoHyphens w:val="true"/>
              <w:spacing w:lineRule="auto" w:line="240" w:before="0" w:after="0"/>
              <w:jc w:val="left"/>
              <w:rPr>
                <w:rFonts w:eastAsia="Calibri"/>
                <w:kern w:val="0"/>
                <w:sz w:val="22"/>
                <w:szCs w:val="22"/>
                <w:lang w:val="ru-RU" w:eastAsia="en-US" w:bidi="ar-SA"/>
              </w:rPr>
            </w:pPr>
            <w:r>
              <w:rPr>
                <w:rFonts w:eastAsia="Calibri" w:cs="Times New Roman" w:ascii="Times New Roman" w:hAnsi="Times New Roman"/>
                <w:kern w:val="0"/>
                <w:sz w:val="22"/>
                <w:szCs w:val="22"/>
                <w:lang w:val="ru-RU" w:eastAsia="en-US" w:bidi="ar-SA"/>
              </w:rPr>
              <w:t>9.</w:t>
            </w:r>
          </w:p>
        </w:tc>
        <w:tc>
          <w:tcPr>
            <w:tcW w:w="1542"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Абз. 3 п. 11 приложения к Нацплану</w:t>
            </w:r>
          </w:p>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rPr>
            </w:r>
          </w:p>
        </w:tc>
        <w:tc>
          <w:tcPr>
            <w:tcW w:w="1866" w:type="dxa"/>
            <w:tcBorders/>
          </w:tcPr>
          <w:p>
            <w:pPr>
              <w:pStyle w:val="Normal"/>
              <w:widowControl w:val="false"/>
              <w:suppressAutoHyphens w:val="true"/>
              <w:spacing w:lineRule="auto" w:line="240" w:before="0" w:after="0"/>
              <w:jc w:val="left"/>
              <w:rPr>
                <w:rFonts w:ascii="Times New Roman" w:hAnsi="Times New Roman" w:cs="Times New Roman"/>
                <w:bCs/>
                <w:iCs/>
              </w:rPr>
            </w:pPr>
            <w:r>
              <w:rPr>
                <w:rFonts w:cs="Times New Roman" w:ascii="Times New Roman" w:hAnsi="Times New Roman"/>
                <w:bCs/>
                <w:iCs/>
              </w:rPr>
            </w:r>
          </w:p>
        </w:tc>
        <w:tc>
          <w:tcPr>
            <w:tcW w:w="4961"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Развитие электронных систем транспортных услуг, в том числе для малого и среднего бизнеса, которые предоставляются организациями в сфере транспорта, не являющимися субъектами естественных монополий, и (или) в отношении которых не применяется ценовое регулирование, в том числе путем запуска в эксплуатацию электронной торговой площадки по перевозкам грузов, и формирование рыночных индикаторов на цены. Контроль уровня экономической концентрации в сфере грузового транспорта.</w:t>
            </w:r>
          </w:p>
        </w:tc>
        <w:tc>
          <w:tcPr>
            <w:tcW w:w="5636" w:type="dxa"/>
            <w:tcBorders/>
          </w:tcPr>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Электронная  торговая площадка «Грузовые перевозки» (далее – ЭТП ГП) является инструментом недискриминационного доступа к услугам ОАО «РЖД».</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В настоящий момент развитие ЭТП ГП осуществляется ее оператором – ООО «Цифровая логистика» совместно с Центром фирменного транспортного обслуживания.</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Сегодня ЭТП ГП — это более 6000 пользователей (рост к прошлому году +1200) и их число постоянно растет. К платформе присоединились 97 поставщиков услуг (рост к прошлому году +29), среди которых:</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- 82 оператора подвижного состава;</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- 8 стивидорных компании;</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- 3 терминально-складских оператора, в том числе Терминально-складская дирекция ОАО «РЖД» с её разветвленной сетью.</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Для поставщиков (операторов подвижного состава, операторов припортовых терминалов) разработано интерфейсное взаимодействие ЭТП  ГП с поставщиками услуг. Реализовано программное обеспечение «Облачного сервиса» для поставщиков (операторов, портов, терминалов) по реализации услуг на ЭТП ГП. Благодаря этому поставщикам не требуется нести дополнительные затраты на собственную информатизацию.</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 xml:space="preserve">Для привлечения новых поставщиков вагонов и повышения активности уже присоединившихся, с учетом инициативы СОЖТ, было принято решение о сокращении с 1 июня 2019 г. размера агентского вознаграждения с 1% до 0%. </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При этом для соблюдения налогового законодательства и норм гражданского права взимается символическая плата – 1 рубль в день или 30 руб. в месяц без НДС (соответствующие изменения в оферту внесены Обществом).</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В 2020 году для операторов:</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Снята обезличенность поставщика и грузовладельца на стадии предзаказа. Это делает более коммерческим формат взаимодействия между клиентом и поставщиком на ЭТП ГП. Это позволяет операторам сохранить существующую грузовую базу, а также снять проблему со встречными порожними пробегами. Снятие обезличенности было также требованием СОЖТ.</w:t>
            </w:r>
          </w:p>
          <w:p>
            <w:pPr>
              <w:pStyle w:val="Normal"/>
              <w:widowControl w:val="false"/>
              <w:suppressAutoHyphens w:val="true"/>
              <w:spacing w:lineRule="auto" w:line="240" w:before="0" w:after="0"/>
              <w:jc w:val="both"/>
              <w:rPr>
                <w:rFonts w:ascii="Times New Roman" w:hAnsi="Times New Roman" w:eastAsia="Calibri" w:cs="Times New Roman"/>
                <w:shd w:fill="auto" w:val="clear"/>
              </w:rPr>
            </w:pPr>
            <w:r>
              <w:rPr>
                <w:rFonts w:eastAsia="Calibri" w:cs="Times New Roman" w:ascii="Times New Roman" w:hAnsi="Times New Roman" w:eastAsiaTheme="minorHAnsi"/>
                <w:kern w:val="0"/>
                <w:sz w:val="22"/>
                <w:szCs w:val="22"/>
                <w:shd w:fill="auto" w:val="clear"/>
                <w:lang w:val="ru-RU" w:eastAsia="en-US" w:bidi="ar-SA"/>
              </w:rPr>
              <w:t xml:space="preserve">Реализован сервис онлайн управления парком порожних вагонов на пространстве ОАО «РЖД», данный сервис также доступен нерезидентам. </w:t>
            </w:r>
          </w:p>
        </w:tc>
      </w:tr>
      <w:tr>
        <w:trPr/>
        <w:tc>
          <w:tcPr>
            <w:tcW w:w="595" w:type="dxa"/>
            <w:tcBorders/>
          </w:tcPr>
          <w:p>
            <w:pPr>
              <w:pStyle w:val="Normal"/>
              <w:widowControl w:val="false"/>
              <w:suppressAutoHyphens w:val="true"/>
              <w:spacing w:lineRule="auto" w:line="240" w:before="0" w:after="0"/>
              <w:jc w:val="left"/>
              <w:rPr>
                <w:rFonts w:eastAsia="Calibri"/>
                <w:kern w:val="0"/>
                <w:sz w:val="22"/>
                <w:szCs w:val="22"/>
                <w:lang w:val="ru-RU" w:eastAsia="en-US" w:bidi="ar-SA"/>
              </w:rPr>
            </w:pPr>
            <w:r>
              <w:rPr>
                <w:rFonts w:eastAsia="Calibri" w:cs="Times New Roman" w:ascii="Times New Roman" w:hAnsi="Times New Roman"/>
                <w:kern w:val="0"/>
                <w:sz w:val="22"/>
                <w:szCs w:val="22"/>
                <w:lang w:val="ru-RU" w:eastAsia="en-US" w:bidi="ar-SA"/>
              </w:rPr>
              <w:t>10.</w:t>
            </w:r>
          </w:p>
        </w:tc>
        <w:tc>
          <w:tcPr>
            <w:tcW w:w="1542"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Абз. 6 п. 11 приложения к Нацплану</w:t>
            </w:r>
          </w:p>
          <w:p>
            <w:pPr>
              <w:pStyle w:val="Normal"/>
              <w:widowControl w:val="false"/>
              <w:suppressAutoHyphens w:val="true"/>
              <w:spacing w:lineRule="auto" w:line="240" w:before="0" w:after="0"/>
              <w:jc w:val="left"/>
              <w:rPr>
                <w:rFonts w:ascii="Times New Roman" w:hAnsi="Times New Roman" w:cs="Times New Roman"/>
                <w:sz w:val="16"/>
                <w:szCs w:val="16"/>
              </w:rPr>
            </w:pPr>
            <w:r>
              <w:rPr>
                <w:rFonts w:cs="Times New Roman" w:ascii="Times New Roman" w:hAnsi="Times New Roman"/>
                <w:sz w:val="16"/>
                <w:szCs w:val="16"/>
              </w:rPr>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П. 28 раздела </w:t>
            </w:r>
            <w:r>
              <w:rPr>
                <w:rFonts w:eastAsia="Calibri" w:cs="Times New Roman" w:ascii="Times New Roman" w:hAnsi="Times New Roman"/>
                <w:kern w:val="0"/>
                <w:sz w:val="22"/>
                <w:szCs w:val="22"/>
                <w:lang w:val="en-US" w:eastAsia="en-US" w:bidi="ar-SA"/>
              </w:rPr>
              <w:t>I</w:t>
            </w:r>
            <w:r>
              <w:rPr>
                <w:rFonts w:eastAsia="Calibri" w:cs="Times New Roman" w:ascii="Times New Roman" w:hAnsi="Times New Roman"/>
                <w:kern w:val="0"/>
                <w:sz w:val="22"/>
                <w:szCs w:val="22"/>
                <w:lang w:val="ru-RU" w:eastAsia="en-US" w:bidi="ar-SA"/>
              </w:rPr>
              <w:t xml:space="preserve"> «дорожной карты»</w:t>
            </w:r>
          </w:p>
        </w:tc>
        <w:tc>
          <w:tcPr>
            <w:tcW w:w="1866" w:type="dxa"/>
            <w:tcBorders/>
          </w:tcPr>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Минтранс России,</w:t>
            </w:r>
          </w:p>
          <w:p>
            <w:pPr>
              <w:pStyle w:val="Normal"/>
              <w:widowControl w:val="false"/>
              <w:suppressAutoHyphens w:val="tru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ФАС России</w:t>
            </w:r>
          </w:p>
        </w:tc>
        <w:tc>
          <w:tcPr>
            <w:tcW w:w="4961"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ru-RU" w:eastAsia="en-US" w:bidi="ar-SA"/>
              </w:rPr>
              <w:t>Комплексное развитие межрегиональных и муниципальных перевозок различными видами  транспорта (развитие межвидовой конкуренции пассажирских перевозок).</w:t>
            </w:r>
          </w:p>
        </w:tc>
        <w:tc>
          <w:tcPr>
            <w:tcW w:w="5636" w:type="dxa"/>
            <w:tcBorders/>
          </w:tcPr>
          <w:p>
            <w:pPr>
              <w:pStyle w:val="Normal"/>
              <w:widowControl w:val="false"/>
              <w:suppressAutoHyphens w:val="true"/>
              <w:spacing w:lineRule="auto" w:line="240" w:before="0" w:after="0"/>
              <w:jc w:val="both"/>
              <w:rPr>
                <w:rFonts w:ascii="Times New Roman" w:hAnsi="Times New Roman" w:cs="Times New Roman"/>
                <w:b/>
                <w:b/>
                <w:bCs/>
              </w:rPr>
            </w:pPr>
            <w:r>
              <w:rPr>
                <w:rFonts w:eastAsia="Calibri" w:cs="Times New Roman" w:ascii="Times New Roman" w:hAnsi="Times New Roman" w:eastAsiaTheme="minorHAnsi"/>
                <w:b/>
                <w:bCs/>
                <w:color w:val="auto"/>
                <w:kern w:val="0"/>
                <w:sz w:val="22"/>
                <w:szCs w:val="22"/>
                <w:lang w:val="ru-RU" w:eastAsia="en-US" w:bidi="ar-SA"/>
              </w:rPr>
              <w:t>Автомобильный транспорт</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xml:space="preserve">Законодательством Российской Федерации создание условий для предоставления транспортных услуг населению и организация транспортного обслуживания населения в городском, пригородном и межмуниципальном сообщениях отнесены к полномочиям органов государственной власти субъектов Российской Федерации и органов местного самоуправления (Федеральный закон от 06.10.2003 № 131-ФЗ «Об общих принципах организации местного самоуправления в Российской Федерации» и 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Органы государственной власти субъектов Российской Федерации и местного самоуправления с учетом территориальных особенностей (архитектурно-планировочных, климатических и др.), а также возможностей региональных и местных бюджетов, определяют направления развития тех или иных видов пассажирского транспорта общего пользования.</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Закон № 220-ФЗ) был систематизирован организационный аспект деятельности по перевозке пассажиров.</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xml:space="preserve">В частности, Законом № 220-ФЗ устанавливаются правила построения и оптимизации маршрутной сети, ключевых показателей использования существующей транспортной сети в рамках документа планирования, поскольку согласно статье 3 Закона № 220-ФЗ документ планирования является нормативным правовым актом высшего исполнительного органа государственной власти субъекта Российской Федерации или исполнительно-распорядительного органа муниципального образования, устанавливающим перечень мероприятий по развитию регулярных перевозок, организация которых отнесена к компетенции соответственно уполномоченных органов исполнительной власти субъектов Российской Федерации и уполномоченных органов местного самоуправления. </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xml:space="preserve">В целях определения единых подходов, основных направлений и конкретных мероприятий по развитию регулярных перевозок на среднесрочную перспективу Минтрансом России утверждены Методические рекомендации по разработке Документа планирования регулярных перевозок пассажиров и багажа по муниципальным и межмуниципальным маршрутам автомобильным транспортом и городским наземным электрическим транспортом (далее соответственно – Методические рекомендации, Документ планирования) (опубликовано на официальном интернет-сайте Минтранса России 30.06.2020: https://mintrans.gov.ru/documents/10/10574). </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Методические рекомендации предназначены для использования при разработке документа планирования, носят рекомендательный характер и не являются нормативным правовым актом.</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Документ планирования служит непосредственным основанием для проведения конкурсов и заключения контрактов на выполнение перевозок, установления, изменения и отмены маршрутов регулярных перевозок, изменению вида регулярных перевозок.</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xml:space="preserve">При этом главной целью планирования и организации регулярных перевозок пассажиров в субъектах Российской Федерации и муниципальных образованиях, в том числе являются: обеспечение эффективного мультимодального взаимодействия всех видов транспорта и «безбарьерности» транспортных связей, в том числе в транспортных узлах и пересадочных пунктах; </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xml:space="preserve">снижение совокупных издержек общества, связанных с обеспечением мобильности населения, включающих: </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прямые эксплуатационные затраты (в том числе на содержание транспортной инфраструктуры и работу транспортных средств, включая автотранспорт, принадлежащий населению);</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затраты времени населения на передвижения;</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ущерб от дорожно-транспортных происшествий;</w:t>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eastAsiaTheme="minorHAnsi"/>
                <w:b w:val="false"/>
                <w:bCs w:val="false"/>
                <w:color w:val="auto"/>
                <w:kern w:val="0"/>
                <w:sz w:val="22"/>
                <w:szCs w:val="22"/>
                <w:lang w:val="ru-RU" w:eastAsia="en-US" w:bidi="ar-SA"/>
              </w:rPr>
              <w:t>- ущерб от загрязнения окружающей среды.</w:t>
            </w:r>
          </w:p>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eastAsiaTheme="minorHAnsi"/>
                <w:b/>
                <w:color w:val="auto"/>
                <w:kern w:val="0"/>
                <w:sz w:val="22"/>
                <w:szCs w:val="22"/>
                <w:lang w:val="ru-RU" w:eastAsia="en-US" w:bidi="ar-SA"/>
              </w:rPr>
              <w:t>Железнодорож</w:t>
            </w:r>
            <w:r>
              <w:rPr>
                <w:rFonts w:eastAsia="Calibri" w:cs="Times New Roman" w:ascii="Times New Roman" w:hAnsi="Times New Roman"/>
                <w:b/>
                <w:kern w:val="0"/>
                <w:sz w:val="22"/>
                <w:szCs w:val="22"/>
                <w:lang w:val="ru-RU" w:eastAsia="en-US" w:bidi="ar-SA"/>
              </w:rPr>
              <w:t>ный транспорт</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t>Конкурентами пригородного железнодорожного транспорта, прежде всего, является автомобильный общественный (автобусы) и личный транспорт, маршрутные такси, сервисы поиска попутчиков и совместного использования автомобилей (каршеринг).</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t xml:space="preserve">Конкурентными преимуществами пригородного железнодорожного транспорта являются безопасность, массовость, энергоэффективность, экологичность, соблюдение расписания по станциям отправления и прибытия, большие провозные способности, независимость погодных условий. </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t xml:space="preserve">Необходимо отметить, что пассажиры ценят не конкуренцию, а комплексную услугу разных видов транспорта. Сегодня пригородные железнодорожные перевозки развиваются в направлении интеграции транспортной системы регионов и крупных агломераций, а также интеграции в городскую среду. На сегодняшний момент это является одним из ключевых направлений развития рынка транспортных услуг. </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t xml:space="preserve">Высокую значимость имеет регулируемость тарифов на перевозку пассажиров в пригородном железнодорожном сообщении. При этом ключевой задачей является формирование устойчивой финансовой модели работы пригородных компаний.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cs="Times New Roman" w:ascii="Times New Roman" w:hAnsi="Times New Roman"/>
                <w:i w:val="false"/>
                <w:iCs w:val="false"/>
              </w:rPr>
              <w:t xml:space="preserve">В 2020 году железнодорожным транспортом перевезено  </w:t>
            </w:r>
            <w:r>
              <w:rPr>
                <w:rFonts w:cs="Times New Roman" w:ascii="Times New Roman" w:hAnsi="Times New Roman"/>
                <w:b/>
                <w:bCs/>
                <w:i w:val="false"/>
                <w:iCs w:val="false"/>
              </w:rPr>
              <w:t xml:space="preserve">в дальнем сообщении </w:t>
            </w:r>
            <w:r>
              <w:rPr>
                <w:rFonts w:cs="Times New Roman" w:ascii="Times New Roman" w:hAnsi="Times New Roman"/>
                <w:i w:val="false"/>
                <w:iCs w:val="false"/>
              </w:rPr>
              <w:t>67,9 млн. человек (7,8 %).</w:t>
            </w:r>
          </w:p>
          <w:p>
            <w:pPr>
              <w:pStyle w:val="Normal"/>
              <w:widowControl w:val="false"/>
              <w:suppressAutoHyphens w:val="true"/>
              <w:spacing w:lineRule="auto" w:line="240" w:before="0" w:after="0"/>
              <w:jc w:val="both"/>
              <w:rPr>
                <w:rFonts w:ascii="Times New Roman" w:hAnsi="Times New Roman" w:cs="Times New Roman"/>
                <w:i w:val="false"/>
                <w:i w:val="false"/>
                <w:iCs w:val="false"/>
              </w:rPr>
            </w:pPr>
            <w:r>
              <w:rPr>
                <w:rFonts w:cs="Times New Roman" w:ascii="Times New Roman" w:hAnsi="Times New Roman"/>
                <w:i w:val="false"/>
                <w:iCs w:val="false"/>
              </w:rPr>
              <w:t xml:space="preserve">Объем перевозок пассажиров воздушным транспортом на </w:t>
            </w:r>
            <w:r>
              <w:rPr>
                <w:rFonts w:cs="Times New Roman" w:ascii="Times New Roman" w:hAnsi="Times New Roman"/>
                <w:b/>
                <w:bCs/>
                <w:i w:val="false"/>
                <w:iCs w:val="false"/>
              </w:rPr>
              <w:t>внутренних воздушных линиях</w:t>
            </w:r>
            <w:r>
              <w:rPr>
                <w:rFonts w:cs="Times New Roman" w:ascii="Times New Roman" w:hAnsi="Times New Roman"/>
                <w:i w:val="false"/>
                <w:iCs w:val="false"/>
              </w:rPr>
              <w:t xml:space="preserve"> составил</w:t>
              <w:br/>
              <w:t>56,158 млн. человек.</w:t>
            </w:r>
          </w:p>
        </w:tc>
      </w:tr>
    </w:tbl>
    <w:p>
      <w:pPr>
        <w:pStyle w:val="Normal"/>
        <w:spacing w:lineRule="auto" w:line="240" w:before="0" w:after="0"/>
        <w:rPr>
          <w:rFonts w:ascii="Times New Roman" w:hAnsi="Times New Roman" w:cs="Times New Roman"/>
        </w:rPr>
      </w:pPr>
      <w:r>
        <w:rPr/>
      </w:r>
    </w:p>
    <w:sectPr>
      <w:headerReference w:type="default" r:id="rId2"/>
      <w:type w:val="nextPage"/>
      <w:pgSz w:orient="landscape" w:w="16838" w:h="11906"/>
      <w:pgMar w:left="1134" w:right="1134" w:header="709" w:top="1134" w:footer="0" w:bottom="79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61299018"/>
    </w:sdtPr>
    <w:sdtContent>
      <w:p>
        <w:pPr>
          <w:pStyle w:val="Style23"/>
          <w:jc w:val="center"/>
          <w:rPr/>
        </w:pP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p>
    </w:sdtContent>
  </w:sdt>
  <w:p>
    <w:pPr>
      <w:pStyle w:val="Style23"/>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f6faf"/>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462c4f"/>
    <w:rPr>
      <w:rFonts w:ascii="Segoe UI" w:hAnsi="Segoe UI" w:cs="Segoe UI"/>
      <w:sz w:val="18"/>
      <w:szCs w:val="18"/>
    </w:rPr>
  </w:style>
  <w:style w:type="character" w:styleId="Style15" w:customStyle="1">
    <w:name w:val="Верхний колонтитул Знак"/>
    <w:basedOn w:val="DefaultParagraphFont"/>
    <w:link w:val="a6"/>
    <w:uiPriority w:val="99"/>
    <w:qFormat/>
    <w:rsid w:val="00f8745d"/>
    <w:rPr/>
  </w:style>
  <w:style w:type="character" w:styleId="Style16" w:customStyle="1">
    <w:name w:val="Нижний колонтитул Знак"/>
    <w:basedOn w:val="DefaultParagraphFont"/>
    <w:link w:val="a8"/>
    <w:uiPriority w:val="99"/>
    <w:qFormat/>
    <w:rsid w:val="00f8745d"/>
    <w:rPr/>
  </w:style>
  <w:style w:type="paragraph" w:styleId="Style17">
    <w:name w:val="Заголовок"/>
    <w:basedOn w:val="Normal"/>
    <w:next w:val="Style18"/>
    <w:qFormat/>
    <w:pPr>
      <w:keepNext w:val="true"/>
      <w:spacing w:before="240" w:after="120"/>
    </w:pPr>
    <w:rPr>
      <w:rFonts w:ascii="Liberation Sans" w:hAnsi="Liberation Sans" w:eastAsia="Tahoma" w:cs="Droid Sans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Droid Sans Devanagari"/>
    </w:rPr>
  </w:style>
  <w:style w:type="paragraph" w:styleId="Style20">
    <w:name w:val="Caption"/>
    <w:basedOn w:val="Normal"/>
    <w:qFormat/>
    <w:pPr>
      <w:suppressLineNumbers/>
      <w:spacing w:before="120" w:after="120"/>
    </w:pPr>
    <w:rPr>
      <w:rFonts w:cs="Droid Sans Devanagari"/>
      <w:i/>
      <w:iCs/>
      <w:sz w:val="24"/>
      <w:szCs w:val="24"/>
    </w:rPr>
  </w:style>
  <w:style w:type="paragraph" w:styleId="Style21">
    <w:name w:val="Указатель"/>
    <w:basedOn w:val="Normal"/>
    <w:qFormat/>
    <w:pPr>
      <w:suppressLineNumbers/>
    </w:pPr>
    <w:rPr>
      <w:rFonts w:cs="Droid Sans Devanagari"/>
    </w:rPr>
  </w:style>
  <w:style w:type="paragraph" w:styleId="BalloonText">
    <w:name w:val="Balloon Text"/>
    <w:basedOn w:val="Normal"/>
    <w:link w:val="a5"/>
    <w:uiPriority w:val="99"/>
    <w:semiHidden/>
    <w:unhideWhenUsed/>
    <w:qFormat/>
    <w:rsid w:val="00462c4f"/>
    <w:pPr>
      <w:spacing w:lineRule="auto" w:line="240" w:before="0" w:after="0"/>
    </w:pPr>
    <w:rPr>
      <w:rFonts w:ascii="Segoe UI" w:hAnsi="Segoe UI" w:cs="Segoe UI"/>
      <w:sz w:val="18"/>
      <w:szCs w:val="18"/>
    </w:rPr>
  </w:style>
  <w:style w:type="paragraph" w:styleId="Style22">
    <w:name w:val="Верхний и нижний колонтитулы"/>
    <w:basedOn w:val="Normal"/>
    <w:qFormat/>
    <w:pPr/>
    <w:rPr/>
  </w:style>
  <w:style w:type="paragraph" w:styleId="Style23">
    <w:name w:val="Header"/>
    <w:basedOn w:val="Normal"/>
    <w:link w:val="a7"/>
    <w:uiPriority w:val="99"/>
    <w:unhideWhenUsed/>
    <w:rsid w:val="00f8745d"/>
    <w:pPr>
      <w:tabs>
        <w:tab w:val="clear" w:pos="708"/>
        <w:tab w:val="center" w:pos="4677" w:leader="none"/>
        <w:tab w:val="right" w:pos="9355" w:leader="none"/>
      </w:tabs>
      <w:spacing w:lineRule="auto" w:line="240" w:before="0" w:after="0"/>
    </w:pPr>
    <w:rPr/>
  </w:style>
  <w:style w:type="paragraph" w:styleId="Style24">
    <w:name w:val="Footer"/>
    <w:basedOn w:val="Normal"/>
    <w:link w:val="a9"/>
    <w:uiPriority w:val="99"/>
    <w:unhideWhenUsed/>
    <w:rsid w:val="00f8745d"/>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662ece"/>
    <w:pPr>
      <w:spacing w:before="0" w:after="160"/>
      <w:ind w:left="720" w:hanging="0"/>
      <w:contextualSpacing/>
    </w:pPr>
    <w:rPr/>
  </w:style>
  <w:style w:type="paragraph" w:styleId="Style25">
    <w:name w:val="Содержимое таблицы"/>
    <w:basedOn w:val="Normal"/>
    <w:qFormat/>
    <w:pPr>
      <w:widowControl w:val="false"/>
      <w:suppressLineNumbers/>
    </w:pPr>
    <w:rPr/>
  </w:style>
  <w:style w:type="paragraph" w:styleId="Style26">
    <w:name w:val="Заголовок таблицы"/>
    <w:basedOn w:val="Style25"/>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a144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26432-95AB-479E-B7AE-9A22065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Application>LibreOffice/7.1.1.2$Linux_X86_64 LibreOffice_project/fe0b08f4af1bacafe4c7ecc87ce55bb426164676</Application>
  <AppVersion>15.0000</AppVersion>
  <Pages>13</Pages>
  <Words>2526</Words>
  <Characters>18537</Characters>
  <CharactersWithSpaces>20997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2020-12-25T11:07:00Z</dcterms:created>
  <dc:creator>Миненков Владимир Александрович</dc:creator>
  <dc:description/>
  <dc:language>ru-RU</dc:language>
  <cp:lastModifiedBy/>
  <cp:lastPrinted>2021-03-24T11:57:49Z</cp:lastPrinted>
  <dcterms:modified xsi:type="dcterms:W3CDTF">2021-03-26T14:13:24Z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file>