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BC2F7" w14:textId="77777777" w:rsidR="00CC5362" w:rsidRPr="00CC5362" w:rsidRDefault="00CC5362" w:rsidP="00CC5362">
      <w:pPr>
        <w:jc w:val="center"/>
        <w:rPr>
          <w:b/>
          <w:bCs/>
        </w:rPr>
      </w:pPr>
      <w:r w:rsidRPr="00CC5362">
        <w:rPr>
          <w:b/>
          <w:bCs/>
        </w:rPr>
        <w:t>Справочная информация о новой структуре Московской и смежных с ней зон Единой системы организации воздушного движения Российской Федерации</w:t>
      </w:r>
    </w:p>
    <w:p w14:paraId="75733DF1" w14:textId="77777777" w:rsidR="00CC5362" w:rsidRDefault="00CC5362" w:rsidP="00CC5362">
      <w:pPr>
        <w:jc w:val="both"/>
      </w:pPr>
      <w:r>
        <w:t xml:space="preserve"> </w:t>
      </w:r>
    </w:p>
    <w:p w14:paraId="611C39F0" w14:textId="77777777" w:rsidR="00CC5362" w:rsidRDefault="00CC5362" w:rsidP="00CC5362">
      <w:pPr>
        <w:jc w:val="both"/>
      </w:pPr>
      <w:r>
        <w:t>Минтрансу России, Минобороны России и Минпромторгу России в марте 2011 года решением Председателя Правительства Российской Федерации было поручено представить в Правительство Российской Федерации предложения по совершенствованию структуры организации воздушного пространства Московской зоны Единой системы организации воздушного движения в целях повышения её пропускной способности.</w:t>
      </w:r>
    </w:p>
    <w:p w14:paraId="12E7A1E7" w14:textId="77777777" w:rsidR="00CC5362" w:rsidRDefault="00CC5362" w:rsidP="00CC5362">
      <w:pPr>
        <w:jc w:val="both"/>
      </w:pPr>
      <w:r>
        <w:t xml:space="preserve">На начальном этапе организацию разработки новой структуры осуществляла рабочая группа, в которую вошли эксперты Росавиации, филиала «НИИ Аэронавигации» ФГУП </w:t>
      </w:r>
      <w:proofErr w:type="spellStart"/>
      <w:r>
        <w:t>ГосНИИ</w:t>
      </w:r>
      <w:proofErr w:type="spellEnd"/>
      <w:r>
        <w:t xml:space="preserve"> ГА, ФГУП «Госкорпорация по </w:t>
      </w:r>
      <w:proofErr w:type="spellStart"/>
      <w:r>
        <w:t>ОрВД</w:t>
      </w:r>
      <w:proofErr w:type="spellEnd"/>
      <w:r>
        <w:t>», представители операторов аэропортов Москвы и авиакомпаний «Аэрофлот», «Трансаэро», «</w:t>
      </w:r>
      <w:proofErr w:type="spellStart"/>
      <w:r>
        <w:t>ЮТэйр</w:t>
      </w:r>
      <w:proofErr w:type="spellEnd"/>
      <w:r>
        <w:t>» и «Сибирь».</w:t>
      </w:r>
    </w:p>
    <w:p w14:paraId="5B3ADC1B" w14:textId="77777777" w:rsidR="00CC5362" w:rsidRDefault="00CC5362" w:rsidP="00CC5362">
      <w:pPr>
        <w:jc w:val="both"/>
      </w:pPr>
      <w:r>
        <w:t xml:space="preserve">Спустя три года, в 2014 году была разработана новая структура воздушного пространства, позволяющая повысить уровень интенсивности воздушного движения в 1,5 раза, а уровень безопасности полетов в 1,8 раза. Структура была подвергнута независимому аудиту компанией </w:t>
      </w:r>
      <w:proofErr w:type="spellStart"/>
      <w:r>
        <w:t>Jeppesen</w:t>
      </w:r>
      <w:proofErr w:type="spellEnd"/>
      <w:r>
        <w:t>, выводы которой подтвердили все заявленные показатели нововведения.</w:t>
      </w:r>
    </w:p>
    <w:p w14:paraId="7C1AD2B1" w14:textId="77777777" w:rsidR="00CC5362" w:rsidRDefault="00CC5362" w:rsidP="00CC5362">
      <w:pPr>
        <w:jc w:val="both"/>
      </w:pPr>
      <w:r>
        <w:t>В сентябре 2014 года новая структура воздушного пространства была представлена Правительственной комиссии по транспорту. Комиссия признала целесообразным провести корректировку проекта с учётом предложений авиакомпаний, аэропортов и иных заинтересованных сторон, учитывая перспективное развитие аэродромной инфраструктуры и расширение объемов авиаперевозок.</w:t>
      </w:r>
    </w:p>
    <w:p w14:paraId="2C11DD2B" w14:textId="77777777" w:rsidR="00CC5362" w:rsidRDefault="00CC5362" w:rsidP="00CC5362">
      <w:pPr>
        <w:jc w:val="both"/>
      </w:pPr>
      <w:r>
        <w:t xml:space="preserve">В 2018 году итогом четырехлетней работы экспертной межведомственной группы из представителей Росавиации, Минтранса, Минпрома, Минобороны, ФГУП «Госкорпорация по </w:t>
      </w:r>
      <w:proofErr w:type="spellStart"/>
      <w:r>
        <w:t>ОрВД</w:t>
      </w:r>
      <w:proofErr w:type="spellEnd"/>
      <w:r>
        <w:t xml:space="preserve">», «НИИ Аэронавигации» ФГУП </w:t>
      </w:r>
      <w:proofErr w:type="spellStart"/>
      <w:r>
        <w:t>ГосНИИ</w:t>
      </w:r>
      <w:proofErr w:type="spellEnd"/>
      <w:r>
        <w:t xml:space="preserve"> ГА, ведущих авиакомпаний и операторов аэропортов стал новый концептуальный проект структуры воздушного пространства.</w:t>
      </w:r>
    </w:p>
    <w:p w14:paraId="445E80AE" w14:textId="77777777" w:rsidR="00CC5362" w:rsidRDefault="00CC5362" w:rsidP="00CC5362">
      <w:pPr>
        <w:jc w:val="both"/>
      </w:pPr>
      <w:r>
        <w:t>К установленным ранее показателям увеличения интенсивности воздушного движения и повышения уровня безопасности полетов добавились дополнительные. Время полёта в Московской воздушной зоне должно сократиться в среднем на 15%, протяженность за счёт сокращения использования зон ожидания – на 21%. Расход топлива – почти на 14%. При этом расчетная экономия топлива для прибывающих воздушных судов в Шереметьево должна составить 39%, в Домодедово – 34%, во Внуково – 23%.</w:t>
      </w:r>
    </w:p>
    <w:p w14:paraId="787B66AE" w14:textId="77777777" w:rsidR="00CC5362" w:rsidRDefault="00CC5362" w:rsidP="00CC5362">
      <w:pPr>
        <w:jc w:val="both"/>
      </w:pPr>
      <w:r>
        <w:t>Концептуальный проект новой структуры воздушного пространства Московской зоны характеризуется следующими новыми эксплуатационными свойствами:</w:t>
      </w:r>
    </w:p>
    <w:p w14:paraId="311F0863" w14:textId="77777777" w:rsidR="00CC5362" w:rsidRDefault="00CC5362" w:rsidP="00CC5362">
      <w:pPr>
        <w:jc w:val="both"/>
      </w:pPr>
      <w:r>
        <w:rPr>
          <w:rFonts w:ascii="Tahoma" w:hAnsi="Tahoma" w:cs="Tahoma"/>
        </w:rPr>
        <w:t>⁃</w:t>
      </w:r>
      <w:r>
        <w:rPr>
          <w:rFonts w:ascii="Tahoma" w:hAnsi="Tahoma" w:cs="Tahoma"/>
        </w:rPr>
        <w:t xml:space="preserve"> </w:t>
      </w:r>
      <w:r>
        <w:rPr>
          <w:rFonts w:ascii="Calibri" w:hAnsi="Calibri" w:cs="Calibri"/>
        </w:rPr>
        <w:t>применение</w:t>
      </w:r>
      <w:r>
        <w:t xml:space="preserve"> </w:t>
      </w:r>
      <w:r>
        <w:rPr>
          <w:rFonts w:ascii="Calibri" w:hAnsi="Calibri" w:cs="Calibri"/>
        </w:rPr>
        <w:t>маршрутов</w:t>
      </w:r>
      <w:r>
        <w:t xml:space="preserve">, </w:t>
      </w:r>
      <w:r>
        <w:rPr>
          <w:rFonts w:ascii="Calibri" w:hAnsi="Calibri" w:cs="Calibri"/>
        </w:rPr>
        <w:t>основанных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современных</w:t>
      </w:r>
      <w:r>
        <w:t xml:space="preserve"> </w:t>
      </w:r>
      <w:r>
        <w:rPr>
          <w:rFonts w:ascii="Calibri" w:hAnsi="Calibri" w:cs="Calibri"/>
        </w:rPr>
        <w:t>методах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средствах</w:t>
      </w:r>
      <w:r>
        <w:t xml:space="preserve"> </w:t>
      </w:r>
      <w:r>
        <w:rPr>
          <w:rFonts w:ascii="Calibri" w:hAnsi="Calibri" w:cs="Calibri"/>
        </w:rPr>
        <w:t>навигации</w:t>
      </w:r>
      <w:r>
        <w:t>;</w:t>
      </w:r>
    </w:p>
    <w:p w14:paraId="0E919C74" w14:textId="77777777" w:rsidR="00CC5362" w:rsidRDefault="00CC5362" w:rsidP="00CC5362">
      <w:pPr>
        <w:jc w:val="both"/>
      </w:pPr>
      <w:r>
        <w:rPr>
          <w:rFonts w:ascii="Tahoma" w:hAnsi="Tahoma" w:cs="Tahoma"/>
        </w:rPr>
        <w:t>⁃</w:t>
      </w:r>
      <w:r>
        <w:rPr>
          <w:rFonts w:ascii="Tahoma" w:hAnsi="Tahoma" w:cs="Tahoma"/>
        </w:rPr>
        <w:t xml:space="preserve"> </w:t>
      </w:r>
      <w:r>
        <w:rPr>
          <w:rFonts w:ascii="Calibri" w:hAnsi="Calibri" w:cs="Calibri"/>
        </w:rPr>
        <w:t>бесконфликтность</w:t>
      </w:r>
      <w:r>
        <w:t xml:space="preserve"> </w:t>
      </w:r>
      <w:r>
        <w:rPr>
          <w:rFonts w:ascii="Calibri" w:hAnsi="Calibri" w:cs="Calibri"/>
        </w:rPr>
        <w:t>между</w:t>
      </w:r>
      <w:r>
        <w:t xml:space="preserve"> </w:t>
      </w:r>
      <w:r>
        <w:rPr>
          <w:rFonts w:ascii="Calibri" w:hAnsi="Calibri" w:cs="Calibri"/>
        </w:rPr>
        <w:t>схемами</w:t>
      </w:r>
      <w:r>
        <w:t xml:space="preserve"> </w:t>
      </w:r>
      <w:r>
        <w:rPr>
          <w:rFonts w:ascii="Calibri" w:hAnsi="Calibri" w:cs="Calibri"/>
        </w:rPr>
        <w:t>прибытия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схемами</w:t>
      </w:r>
      <w:r>
        <w:t xml:space="preserve"> </w:t>
      </w:r>
      <w:r>
        <w:rPr>
          <w:rFonts w:ascii="Calibri" w:hAnsi="Calibri" w:cs="Calibri"/>
        </w:rPr>
        <w:t>вылета</w:t>
      </w:r>
      <w:r>
        <w:t xml:space="preserve"> </w:t>
      </w:r>
      <w:r>
        <w:rPr>
          <w:rFonts w:ascii="Calibri" w:hAnsi="Calibri" w:cs="Calibri"/>
        </w:rPr>
        <w:t>основных</w:t>
      </w:r>
      <w:r>
        <w:t xml:space="preserve"> </w:t>
      </w:r>
      <w:r>
        <w:rPr>
          <w:rFonts w:ascii="Calibri" w:hAnsi="Calibri" w:cs="Calibri"/>
        </w:rPr>
        <w:t>аэродромов</w:t>
      </w:r>
      <w:r>
        <w:t>;</w:t>
      </w:r>
    </w:p>
    <w:p w14:paraId="032BC37E" w14:textId="77777777" w:rsidR="00CC5362" w:rsidRDefault="00CC5362" w:rsidP="00CC5362">
      <w:pPr>
        <w:jc w:val="both"/>
      </w:pPr>
      <w:r>
        <w:rPr>
          <w:rFonts w:ascii="Tahoma" w:hAnsi="Tahoma" w:cs="Tahoma"/>
        </w:rPr>
        <w:t>⁃</w:t>
      </w:r>
      <w:r>
        <w:rPr>
          <w:rFonts w:ascii="Tahoma" w:hAnsi="Tahoma" w:cs="Tahoma"/>
        </w:rPr>
        <w:t xml:space="preserve"> </w:t>
      </w:r>
      <w:r>
        <w:rPr>
          <w:rFonts w:ascii="Calibri" w:hAnsi="Calibri" w:cs="Calibri"/>
        </w:rPr>
        <w:t>совершенствование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оптимизация</w:t>
      </w:r>
      <w:r>
        <w:t xml:space="preserve"> </w:t>
      </w:r>
      <w:r>
        <w:rPr>
          <w:rFonts w:ascii="Calibri" w:hAnsi="Calibri" w:cs="Calibri"/>
        </w:rPr>
        <w:t>диспетчерских</w:t>
      </w:r>
      <w:r>
        <w:t xml:space="preserve"> </w:t>
      </w:r>
      <w:r>
        <w:rPr>
          <w:rFonts w:ascii="Calibri" w:hAnsi="Calibri" w:cs="Calibri"/>
        </w:rPr>
        <w:t>пунктов</w:t>
      </w:r>
      <w:r>
        <w:t xml:space="preserve"> </w:t>
      </w:r>
      <w:r>
        <w:rPr>
          <w:rFonts w:ascii="Calibri" w:hAnsi="Calibri" w:cs="Calibri"/>
        </w:rPr>
        <w:t>организации</w:t>
      </w:r>
      <w:r>
        <w:t xml:space="preserve"> </w:t>
      </w:r>
      <w:r>
        <w:rPr>
          <w:rFonts w:ascii="Calibri" w:hAnsi="Calibri" w:cs="Calibri"/>
        </w:rPr>
        <w:t>воздушного</w:t>
      </w:r>
      <w:r>
        <w:t xml:space="preserve"> </w:t>
      </w:r>
      <w:r>
        <w:rPr>
          <w:rFonts w:ascii="Calibri" w:hAnsi="Calibri" w:cs="Calibri"/>
        </w:rPr>
        <w:t>движе</w:t>
      </w:r>
      <w:r>
        <w:t>ния («прилет» и «вылет») в Московском узловом диспетчерском районе;</w:t>
      </w:r>
    </w:p>
    <w:p w14:paraId="40F778D6" w14:textId="77777777" w:rsidR="00CC5362" w:rsidRDefault="00CC5362" w:rsidP="00CC5362">
      <w:pPr>
        <w:jc w:val="both"/>
      </w:pPr>
      <w:r>
        <w:rPr>
          <w:rFonts w:ascii="Tahoma" w:hAnsi="Tahoma" w:cs="Tahoma"/>
        </w:rPr>
        <w:t>⁃</w:t>
      </w:r>
      <w:r>
        <w:t xml:space="preserve"> </w:t>
      </w:r>
      <w:r>
        <w:rPr>
          <w:rFonts w:ascii="Calibri" w:hAnsi="Calibri" w:cs="Calibri"/>
        </w:rPr>
        <w:t>независимые</w:t>
      </w:r>
      <w:r>
        <w:t xml:space="preserve"> </w:t>
      </w:r>
      <w:r>
        <w:rPr>
          <w:rFonts w:ascii="Calibri" w:hAnsi="Calibri" w:cs="Calibri"/>
        </w:rPr>
        <w:t>одновременные</w:t>
      </w:r>
      <w:r>
        <w:t xml:space="preserve"> </w:t>
      </w:r>
      <w:r>
        <w:rPr>
          <w:rFonts w:ascii="Calibri" w:hAnsi="Calibri" w:cs="Calibri"/>
        </w:rPr>
        <w:t>заходы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посадку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параллельные</w:t>
      </w:r>
      <w:r>
        <w:t xml:space="preserve"> </w:t>
      </w:r>
      <w:r>
        <w:rPr>
          <w:rFonts w:ascii="Calibri" w:hAnsi="Calibri" w:cs="Calibri"/>
        </w:rPr>
        <w:t>взлетно</w:t>
      </w:r>
      <w:r>
        <w:t>-</w:t>
      </w:r>
      <w:r>
        <w:rPr>
          <w:rFonts w:ascii="Calibri" w:hAnsi="Calibri" w:cs="Calibri"/>
        </w:rPr>
        <w:t>посадочные</w:t>
      </w:r>
      <w:r>
        <w:t xml:space="preserve"> </w:t>
      </w:r>
      <w:r>
        <w:rPr>
          <w:rFonts w:ascii="Calibri" w:hAnsi="Calibri" w:cs="Calibri"/>
        </w:rPr>
        <w:t>полосы</w:t>
      </w:r>
      <w:r>
        <w:t xml:space="preserve"> </w:t>
      </w:r>
      <w:r>
        <w:rPr>
          <w:rFonts w:ascii="Calibri" w:hAnsi="Calibri" w:cs="Calibri"/>
        </w:rPr>
        <w:t>для</w:t>
      </w:r>
      <w:r>
        <w:t xml:space="preserve"> </w:t>
      </w:r>
      <w:r>
        <w:rPr>
          <w:rFonts w:ascii="Calibri" w:hAnsi="Calibri" w:cs="Calibri"/>
        </w:rPr>
        <w:t>аэродромов</w:t>
      </w:r>
      <w:r>
        <w:t xml:space="preserve"> </w:t>
      </w:r>
      <w:r>
        <w:rPr>
          <w:rFonts w:ascii="Calibri" w:hAnsi="Calibri" w:cs="Calibri"/>
        </w:rPr>
        <w:t>Шереметьево</w:t>
      </w:r>
      <w:r>
        <w:t xml:space="preserve"> </w:t>
      </w:r>
      <w:r>
        <w:rPr>
          <w:rFonts w:ascii="Calibri" w:hAnsi="Calibri" w:cs="Calibri"/>
        </w:rPr>
        <w:t>и</w:t>
      </w:r>
      <w:r>
        <w:t xml:space="preserve"> </w:t>
      </w:r>
      <w:r>
        <w:rPr>
          <w:rFonts w:ascii="Calibri" w:hAnsi="Calibri" w:cs="Calibri"/>
        </w:rPr>
        <w:t>Домодедово</w:t>
      </w:r>
      <w:r>
        <w:t>;</w:t>
      </w:r>
    </w:p>
    <w:p w14:paraId="70E38F32" w14:textId="77777777" w:rsidR="00CC5362" w:rsidRDefault="00CC5362" w:rsidP="00CC5362">
      <w:pPr>
        <w:jc w:val="both"/>
      </w:pPr>
      <w:r>
        <w:rPr>
          <w:rFonts w:ascii="Tahoma" w:hAnsi="Tahoma" w:cs="Tahoma"/>
        </w:rPr>
        <w:t>⁃</w:t>
      </w:r>
      <w:r>
        <w:t xml:space="preserve"> </w:t>
      </w:r>
      <w:r>
        <w:rPr>
          <w:rFonts w:ascii="Calibri" w:hAnsi="Calibri" w:cs="Calibri"/>
        </w:rPr>
        <w:t>перенаправление</w:t>
      </w:r>
      <w:r>
        <w:t xml:space="preserve"> </w:t>
      </w:r>
      <w:r>
        <w:rPr>
          <w:rFonts w:ascii="Calibri" w:hAnsi="Calibri" w:cs="Calibri"/>
        </w:rPr>
        <w:t>транзитных</w:t>
      </w:r>
      <w:r>
        <w:t xml:space="preserve"> </w:t>
      </w:r>
      <w:r>
        <w:rPr>
          <w:rFonts w:ascii="Calibri" w:hAnsi="Calibri" w:cs="Calibri"/>
        </w:rPr>
        <w:t>потоков</w:t>
      </w:r>
      <w:r>
        <w:t xml:space="preserve"> </w:t>
      </w:r>
      <w:r>
        <w:rPr>
          <w:rFonts w:ascii="Calibri" w:hAnsi="Calibri" w:cs="Calibri"/>
        </w:rPr>
        <w:t>воздушных</w:t>
      </w:r>
      <w:r>
        <w:t xml:space="preserve"> </w:t>
      </w:r>
      <w:r>
        <w:rPr>
          <w:rFonts w:ascii="Calibri" w:hAnsi="Calibri" w:cs="Calibri"/>
        </w:rPr>
        <w:t>судов</w:t>
      </w:r>
      <w:r>
        <w:t xml:space="preserve"> </w:t>
      </w:r>
      <w:r>
        <w:rPr>
          <w:rFonts w:ascii="Calibri" w:hAnsi="Calibri" w:cs="Calibri"/>
        </w:rPr>
        <w:t>для</w:t>
      </w:r>
      <w:r>
        <w:t xml:space="preserve"> снижения нагрузки на основные аэродромы Москвы;</w:t>
      </w:r>
    </w:p>
    <w:p w14:paraId="64F95FC2" w14:textId="77777777" w:rsidR="00CC5362" w:rsidRDefault="00CC5362" w:rsidP="00CC5362">
      <w:pPr>
        <w:jc w:val="both"/>
      </w:pPr>
      <w:r>
        <w:rPr>
          <w:rFonts w:ascii="Tahoma" w:hAnsi="Tahoma" w:cs="Tahoma"/>
        </w:rPr>
        <w:lastRenderedPageBreak/>
        <w:t>⁃</w:t>
      </w:r>
      <w:r>
        <w:t xml:space="preserve"> </w:t>
      </w:r>
      <w:r>
        <w:rPr>
          <w:rFonts w:ascii="Calibri" w:hAnsi="Calibri" w:cs="Calibri"/>
        </w:rPr>
        <w:t>унификация</w:t>
      </w:r>
      <w:r>
        <w:t xml:space="preserve"> </w:t>
      </w:r>
      <w:r>
        <w:rPr>
          <w:rFonts w:ascii="Calibri" w:hAnsi="Calibri" w:cs="Calibri"/>
        </w:rPr>
        <w:t>процедур</w:t>
      </w:r>
      <w:r>
        <w:t xml:space="preserve"> </w:t>
      </w:r>
      <w:r>
        <w:rPr>
          <w:rFonts w:ascii="Calibri" w:hAnsi="Calibri" w:cs="Calibri"/>
        </w:rPr>
        <w:t>формирования</w:t>
      </w:r>
      <w:r>
        <w:t xml:space="preserve"> </w:t>
      </w:r>
      <w:r>
        <w:rPr>
          <w:rFonts w:ascii="Calibri" w:hAnsi="Calibri" w:cs="Calibri"/>
        </w:rPr>
        <w:t>потоков</w:t>
      </w:r>
      <w:r>
        <w:t xml:space="preserve"> </w:t>
      </w:r>
      <w:r>
        <w:rPr>
          <w:rFonts w:ascii="Calibri" w:hAnsi="Calibri" w:cs="Calibri"/>
        </w:rPr>
        <w:t>прилетающих</w:t>
      </w:r>
      <w:r>
        <w:t xml:space="preserve"> </w:t>
      </w:r>
      <w:r>
        <w:rPr>
          <w:rFonts w:ascii="Calibri" w:hAnsi="Calibri" w:cs="Calibri"/>
        </w:rPr>
        <w:t>воздушных</w:t>
      </w:r>
      <w:r>
        <w:t xml:space="preserve"> </w:t>
      </w:r>
      <w:r>
        <w:rPr>
          <w:rFonts w:ascii="Calibri" w:hAnsi="Calibri" w:cs="Calibri"/>
        </w:rPr>
        <w:t>судов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траекторию</w:t>
      </w:r>
      <w:r>
        <w:t xml:space="preserve"> </w:t>
      </w:r>
      <w:r>
        <w:rPr>
          <w:rFonts w:ascii="Calibri" w:hAnsi="Calibri" w:cs="Calibri"/>
        </w:rPr>
        <w:t>захода</w:t>
      </w:r>
      <w:r>
        <w:t xml:space="preserve"> </w:t>
      </w:r>
      <w:r>
        <w:rPr>
          <w:rFonts w:ascii="Calibri" w:hAnsi="Calibri" w:cs="Calibri"/>
        </w:rPr>
        <w:t>на</w:t>
      </w:r>
      <w:r>
        <w:t xml:space="preserve"> </w:t>
      </w:r>
      <w:r>
        <w:rPr>
          <w:rFonts w:ascii="Calibri" w:hAnsi="Calibri" w:cs="Calibri"/>
        </w:rPr>
        <w:t>посадку</w:t>
      </w:r>
      <w:r>
        <w:t xml:space="preserve"> </w:t>
      </w:r>
      <w:r>
        <w:rPr>
          <w:rFonts w:ascii="Calibri" w:hAnsi="Calibri" w:cs="Calibri"/>
        </w:rPr>
        <w:t>за</w:t>
      </w:r>
      <w:r>
        <w:t xml:space="preserve"> </w:t>
      </w:r>
      <w:r>
        <w:rPr>
          <w:rFonts w:ascii="Calibri" w:hAnsi="Calibri" w:cs="Calibri"/>
        </w:rPr>
        <w:t>счет</w:t>
      </w:r>
      <w:r>
        <w:t xml:space="preserve"> </w:t>
      </w:r>
      <w:r>
        <w:rPr>
          <w:rFonts w:ascii="Calibri" w:hAnsi="Calibri" w:cs="Calibri"/>
        </w:rPr>
        <w:t>применения</w:t>
      </w:r>
      <w:r>
        <w:t xml:space="preserve"> </w:t>
      </w:r>
      <w:r>
        <w:rPr>
          <w:rFonts w:ascii="Calibri" w:hAnsi="Calibri" w:cs="Calibri"/>
        </w:rPr>
        <w:t>современных</w:t>
      </w:r>
      <w:r>
        <w:t xml:space="preserve"> </w:t>
      </w:r>
      <w:r>
        <w:rPr>
          <w:rFonts w:ascii="Calibri" w:hAnsi="Calibri" w:cs="Calibri"/>
        </w:rPr>
        <w:t>технологий</w:t>
      </w:r>
      <w:r>
        <w:t xml:space="preserve"> </w:t>
      </w:r>
      <w:r>
        <w:rPr>
          <w:rFonts w:ascii="Calibri" w:hAnsi="Calibri" w:cs="Calibri"/>
        </w:rPr>
        <w:t>управления</w:t>
      </w:r>
      <w:r>
        <w:t xml:space="preserve"> </w:t>
      </w:r>
      <w:r>
        <w:rPr>
          <w:rFonts w:ascii="Calibri" w:hAnsi="Calibri" w:cs="Calibri"/>
        </w:rPr>
        <w:t>воздушным</w:t>
      </w:r>
      <w:r>
        <w:t xml:space="preserve"> </w:t>
      </w:r>
      <w:r>
        <w:rPr>
          <w:rFonts w:ascii="Calibri" w:hAnsi="Calibri" w:cs="Calibri"/>
        </w:rPr>
        <w:t>движением</w:t>
      </w:r>
      <w:r>
        <w:t>;</w:t>
      </w:r>
    </w:p>
    <w:p w14:paraId="4DDB7336" w14:textId="77777777" w:rsidR="00CC5362" w:rsidRDefault="00CC5362" w:rsidP="00CC5362">
      <w:pPr>
        <w:jc w:val="both"/>
      </w:pPr>
      <w:r>
        <w:rPr>
          <w:rFonts w:ascii="Tahoma" w:hAnsi="Tahoma" w:cs="Tahoma"/>
        </w:rPr>
        <w:t>⁃</w:t>
      </w:r>
      <w:r>
        <w:t xml:space="preserve"> </w:t>
      </w:r>
      <w:r>
        <w:rPr>
          <w:rFonts w:ascii="Calibri" w:hAnsi="Calibri" w:cs="Calibri"/>
        </w:rPr>
        <w:t>установление</w:t>
      </w:r>
      <w:r>
        <w:t xml:space="preserve"> </w:t>
      </w:r>
      <w:r>
        <w:rPr>
          <w:rFonts w:ascii="Calibri" w:hAnsi="Calibri" w:cs="Calibri"/>
        </w:rPr>
        <w:t>единой</w:t>
      </w:r>
      <w:r>
        <w:t xml:space="preserve"> </w:t>
      </w:r>
      <w:r>
        <w:rPr>
          <w:rFonts w:ascii="Calibri" w:hAnsi="Calibri" w:cs="Calibri"/>
        </w:rPr>
        <w:t>высоты</w:t>
      </w:r>
      <w:r>
        <w:t xml:space="preserve"> перехода в Московском узловом диспетчерском районе с выдерживанием абсолютной высоты полёта в футах на высотах ниже эшелона перехода.</w:t>
      </w:r>
    </w:p>
    <w:p w14:paraId="76DFC15F" w14:textId="77777777" w:rsidR="00CC5362" w:rsidRDefault="00CC5362" w:rsidP="00CC5362">
      <w:pPr>
        <w:jc w:val="both"/>
      </w:pPr>
      <w:r>
        <w:t>В Московской, Санкт-Петербургской, Ростовской, Самарской и Екатеринбургской зонах Единой системы организации воздушного движения введены новые маршруты обслуживания воздушного движения, из них:</w:t>
      </w:r>
    </w:p>
    <w:p w14:paraId="010A42CA" w14:textId="78A4D978" w:rsidR="00CC5362" w:rsidRDefault="00CC5362" w:rsidP="00CC5362">
      <w:pPr>
        <w:jc w:val="both"/>
      </w:pPr>
      <w:r>
        <w:t>•  220 маршрутов зональной навигации;</w:t>
      </w:r>
    </w:p>
    <w:p w14:paraId="01B0FACE" w14:textId="65AB533B" w:rsidR="00CC5362" w:rsidRDefault="00CC5362" w:rsidP="00CC5362">
      <w:pPr>
        <w:jc w:val="both"/>
      </w:pPr>
      <w:r>
        <w:t>•  9 международных воздушных трасс;</w:t>
      </w:r>
      <w:bookmarkStart w:id="0" w:name="_GoBack"/>
      <w:bookmarkEnd w:id="0"/>
    </w:p>
    <w:p w14:paraId="7D9265E2" w14:textId="00D42565" w:rsidR="00CC5362" w:rsidRDefault="00CC5362" w:rsidP="00CC5362">
      <w:pPr>
        <w:jc w:val="both"/>
      </w:pPr>
      <w:r>
        <w:t>•  35 внутренних воздушных трасс.</w:t>
      </w:r>
    </w:p>
    <w:p w14:paraId="745B8B84" w14:textId="77777777" w:rsidR="00CC5362" w:rsidRDefault="00CC5362" w:rsidP="00CC5362">
      <w:pPr>
        <w:jc w:val="both"/>
      </w:pPr>
      <w:r>
        <w:t>В результате внедрения новой структуры уменьшаются задержки прилетающих воздушных судов при маневрировании перед заходом на посадку. Новая система организации воздушного движения может обеспечить для каждого аэродрома такое количество взлётно-посадочных операций, которое в состоянии принять наземная инфраструктура аэродрома.</w:t>
      </w:r>
    </w:p>
    <w:p w14:paraId="77043492" w14:textId="77777777" w:rsidR="00CC5362" w:rsidRDefault="00CC5362" w:rsidP="00CC5362">
      <w:pPr>
        <w:jc w:val="both"/>
      </w:pPr>
      <w:r>
        <w:t xml:space="preserve">Оценка безопасности полетов в новой структуре воздушного пространства Московской зоны ЕС </w:t>
      </w:r>
      <w:proofErr w:type="spellStart"/>
      <w:r>
        <w:t>ОрВД</w:t>
      </w:r>
      <w:proofErr w:type="spellEnd"/>
      <w:r>
        <w:t xml:space="preserve"> проведена в соответствии с требованиями действующих нормативных правовых актов Российской Федерации и с учетом рекомендаций ИКАО.</w:t>
      </w:r>
    </w:p>
    <w:p w14:paraId="7761BB59" w14:textId="77777777" w:rsidR="00CC5362" w:rsidRDefault="00CC5362" w:rsidP="00CC5362">
      <w:pPr>
        <w:jc w:val="both"/>
      </w:pPr>
      <w:r>
        <w:t xml:space="preserve">Полученная оценка с использованием математических моделей технического риска катастроф ВС позволяет считать безопасность полетов приемлемой и </w:t>
      </w:r>
      <w:proofErr w:type="spellStart"/>
      <w:r>
        <w:t>соответствущей</w:t>
      </w:r>
      <w:proofErr w:type="spellEnd"/>
      <w:r>
        <w:t xml:space="preserve"> отечественным и международным требованиям безопасности полётов при аэронавигационном обслуживании.</w:t>
      </w:r>
    </w:p>
    <w:p w14:paraId="7B5D3E57" w14:textId="77777777" w:rsidR="00CC5362" w:rsidRDefault="00CC5362" w:rsidP="00CC5362">
      <w:pPr>
        <w:jc w:val="both"/>
      </w:pPr>
      <w:r>
        <w:t>Результаты имитационного моделирования подтвердили существенное снижение загрузки диспетчера операциями, связанными с предотвращением конфликтных ситуаций в новой структуре воздушного пространства по сравнению с действующей. Это также подтверждает высокий уровень обеспечения безопасности полётов в новой структуре воздушного пространства.</w:t>
      </w:r>
    </w:p>
    <w:p w14:paraId="432D76EF" w14:textId="77777777" w:rsidR="008F3B19" w:rsidRDefault="00CC5362" w:rsidP="00CC5362">
      <w:pPr>
        <w:jc w:val="both"/>
      </w:pPr>
      <w:r>
        <w:t xml:space="preserve">Около 60% всех полетов, выполняемых в воздушном пространстве России, приходятся на Московскую зону. На ее территории расположено более 100 аэродромов, принадлежащих различным ведомствам и организациям. Границы Московской зоны сопряжены с Белоруссией и Украиной, а также со смежными зонами Единой системы </w:t>
      </w:r>
      <w:proofErr w:type="spellStart"/>
      <w:r>
        <w:t>ОрВД</w:t>
      </w:r>
      <w:proofErr w:type="spellEnd"/>
      <w:r>
        <w:t xml:space="preserve"> – Санкт-Петербургской, Ростовской, Самарской и Екатеринбургской.</w:t>
      </w:r>
    </w:p>
    <w:sectPr w:rsidR="008F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62"/>
    <w:rsid w:val="00B3281C"/>
    <w:rsid w:val="00BE3909"/>
    <w:rsid w:val="00CC5362"/>
    <w:rsid w:val="00D950C7"/>
    <w:rsid w:val="00F9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B368"/>
  <w15:chartTrackingRefBased/>
  <w15:docId w15:val="{91BF4DE4-BBD1-45B0-A34F-71F3CD70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9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15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2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80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7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7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7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49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31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2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47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70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2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1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76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0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8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96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1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4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94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5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5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52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99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5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36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39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2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MAKSIMOVA</dc:creator>
  <cp:keywords/>
  <dc:description/>
  <cp:lastModifiedBy>EKATERINA MAKSIMOVA</cp:lastModifiedBy>
  <cp:revision>2</cp:revision>
  <cp:lastPrinted>2020-12-02T18:53:00Z</cp:lastPrinted>
  <dcterms:created xsi:type="dcterms:W3CDTF">2020-12-02T18:50:00Z</dcterms:created>
  <dcterms:modified xsi:type="dcterms:W3CDTF">2020-12-02T18:56:00Z</dcterms:modified>
</cp:coreProperties>
</file>