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2740"/>
        <w:gridCol w:w="1639"/>
        <w:gridCol w:w="1843"/>
        <w:gridCol w:w="1559"/>
        <w:gridCol w:w="2920"/>
      </w:tblGrid>
      <w:tr w:rsidR="00087745" w:rsidRPr="00087745" w:rsidTr="00D66B3E">
        <w:trPr>
          <w:trHeight w:val="315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bookmarkStart w:id="0" w:name="RANGE!B1:G524"/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  <w:bookmarkEnd w:id="0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8.1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noWrap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Сведения о ходе реализации пилотной государственной программы на приоритетных территориях</w:t>
            </w:r>
          </w:p>
          <w:p w:rsidR="00087745" w:rsidRPr="00087745" w:rsidRDefault="00087745" w:rsidP="0008774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3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I. Сведения о целевых индикаторах ведомственных проектов, федеральных проектов, отдельных мероприятий федеральных проектов, ведомственных целевых программ пилотной государственной программы Российской Федерации «Развитие транспортной системы» на приоритетной территории</w:t>
            </w:r>
          </w:p>
        </w:tc>
      </w:tr>
      <w:tr w:rsidR="00087745" w:rsidRPr="00087745" w:rsidTr="00D66B3E">
        <w:trPr>
          <w:trHeight w:val="990"/>
        </w:trPr>
        <w:tc>
          <w:tcPr>
            <w:tcW w:w="7291" w:type="dxa"/>
            <w:gridSpan w:val="2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Территория (Российская Федерация, субъект Российской Федерации, входящий в состав приоритетной территории)</w:t>
            </w:r>
          </w:p>
        </w:tc>
        <w:tc>
          <w:tcPr>
            <w:tcW w:w="5041" w:type="dxa"/>
            <w:gridSpan w:val="3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Значения показателей (индикаторов)  федеральных проектов, ведомственных проектов, ведомственных целевых программ, мероприятий </w:t>
            </w:r>
          </w:p>
        </w:tc>
        <w:tc>
          <w:tcPr>
            <w:tcW w:w="2920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Обоснование отклонений значений показателя (индикатора на конец года)</w:t>
            </w:r>
          </w:p>
        </w:tc>
      </w:tr>
      <w:tr w:rsidR="00087745" w:rsidRPr="00087745" w:rsidTr="00D66B3E">
        <w:trPr>
          <w:trHeight w:val="615"/>
        </w:trPr>
        <w:tc>
          <w:tcPr>
            <w:tcW w:w="7291" w:type="dxa"/>
            <w:gridSpan w:val="2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отчетный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7745" w:rsidRPr="00087745" w:rsidTr="00D66B3E">
        <w:trPr>
          <w:trHeight w:val="675"/>
        </w:trPr>
        <w:tc>
          <w:tcPr>
            <w:tcW w:w="7291" w:type="dxa"/>
            <w:gridSpan w:val="2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I. Дальневосточный федеральный округ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(подпрограмма) "Железнодорожный транспорт"</w:t>
            </w:r>
          </w:p>
        </w:tc>
      </w:tr>
      <w:tr w:rsidR="00087745" w:rsidRPr="00087745" w:rsidTr="00D66B3E">
        <w:trPr>
          <w:trHeight w:val="518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Республика Бурятия</w:t>
            </w:r>
          </w:p>
        </w:tc>
      </w:tr>
      <w:tr w:rsidR="00087745" w:rsidRPr="00087745" w:rsidTr="00D66B3E">
        <w:trPr>
          <w:trHeight w:val="243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Бурятия, Забайкальский край, Амурская область, Хабаровский край, Приморский край (показатель не разбивается в разрезе субъектов)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11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«Железнодорожный транспорт и транзит»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2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Провозная способность Байкало-Амурской и Транссибирской железнодорожных </w:t>
            </w: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магистралей, млн. тонн в год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123,40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123,40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90"/>
        </w:trPr>
        <w:tc>
          <w:tcPr>
            <w:tcW w:w="15252" w:type="dxa"/>
            <w:gridSpan w:val="6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087745" w:rsidRPr="00087745" w:rsidTr="00D66B3E">
        <w:trPr>
          <w:trHeight w:val="39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45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9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D67A81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7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47,45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2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64,60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64,60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1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D67A81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9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1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86,80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Протяженность построенных и реконструированных участков автомобильных дорог федерального значения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5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6,95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21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регионального, межмуниципального и местного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5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45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автомобильных дорог федерального значения, находящихся в управлении федеральных казенных учреждений, подведомственных Федеральному дорожному агентству, на которых устранены ограничения пропускной способности путем проведения их строительства и реконструкции, в отчетном году 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5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55278F" w:rsidRDefault="00087745" w:rsidP="00552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  <w:r w:rsidR="0055278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29,90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31,60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32,83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37,80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37,80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70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5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97,70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15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10,68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7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26,70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8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40,40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82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9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4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5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41,43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115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2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13,94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по перегрузке: чем значение меньше, тем лучше, план перевыполнен.</w:t>
            </w:r>
          </w:p>
        </w:tc>
      </w:tr>
      <w:tr w:rsidR="00087745" w:rsidRPr="00087745" w:rsidTr="00D66B3E">
        <w:trPr>
          <w:trHeight w:val="1358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25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46,64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46,61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23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57,40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61,80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1489"/>
        </w:trPr>
        <w:tc>
          <w:tcPr>
            <w:tcW w:w="4551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5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84,00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538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59,00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53,70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53,70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4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38,48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52,07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87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4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7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0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56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23,83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23,83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34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75,60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75,70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34,40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субъекта Российской Федерации по результатам инструментальной диагностики, проведенной в Амурской области в 2019 году, доля автомобильных дорог регионального значения Амурской области, отвечающих нормативным требованиям, составила 33,2%. Значение целевого показателя на конец 2019 года по информации субъекта Российской Федерации - 34,4%.</w:t>
            </w:r>
          </w:p>
        </w:tc>
      </w:tr>
      <w:tr w:rsidR="00087745" w:rsidRPr="00087745" w:rsidTr="00D66B3E">
        <w:trPr>
          <w:trHeight w:val="552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1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64,00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100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регионального, межмуниципального и местного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6,19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6,19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5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57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70,50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20,40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данным субъекта Российской Федерации по результатам инструментальной диагностики, проведенной в Магаданской области в 2019 году, доля автомобильных дорог регионального значения Амурской области, отвечающих нормативным требованиям, составила 7,8%. Значение целевого показателя на конец 2019 года по информации субъекта Российской Федерации - 20,4%.</w:t>
            </w:r>
          </w:p>
        </w:tc>
      </w:tr>
      <w:tr w:rsidR="00087745" w:rsidRPr="00087745" w:rsidTr="00D66B3E">
        <w:trPr>
          <w:trHeight w:val="110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79,00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81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66,60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значение отображено в соответствии с отчетом, представленным субъектом Российской Федерации </w:t>
            </w:r>
          </w:p>
        </w:tc>
      </w:tr>
      <w:tr w:rsidR="00087745" w:rsidRPr="00087745" w:rsidTr="00D66B3E">
        <w:trPr>
          <w:trHeight w:val="24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построенных и реконструированных участков автомобильных дорог федерального значения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2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0,86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35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51,42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52,80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38,90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39,60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39,60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97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9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238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45,80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35,50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предварительным данным, представленным субъектом Российской Федерации, значение целевого показателя 2019 года не достигнуто. Фактические данные о целевых показателях федерального проекта «Дорожная сеть» будут подтверждаться в апреле 2020 года по данным статистической отчетности в соответствии с формой №1-БКАД.</w:t>
            </w:r>
          </w:p>
        </w:tc>
      </w:tr>
      <w:tr w:rsidR="00087745" w:rsidRPr="00087745" w:rsidTr="00D66B3E">
        <w:trPr>
          <w:trHeight w:val="1249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19,30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19,30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122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34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435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12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55278F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63,10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1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41,10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54,60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54,60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1650B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81650B" w:rsidRPr="00087745" w:rsidRDefault="0081650B" w:rsidP="0081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109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85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1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6B3E" w:rsidRPr="00087745" w:rsidTr="00D66B3E">
        <w:tc>
          <w:tcPr>
            <w:tcW w:w="4551" w:type="dxa"/>
            <w:vMerge w:val="restart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D66B3E" w:rsidRPr="00D66B3E" w:rsidRDefault="00D66B3E" w:rsidP="00D66B3E">
            <w:pPr>
              <w:pStyle w:val="a9"/>
              <w:tabs>
                <w:tab w:val="left" w:pos="1305"/>
              </w:tabs>
              <w:jc w:val="both"/>
              <w:rPr>
                <w:sz w:val="20"/>
                <w:szCs w:val="20"/>
              </w:rPr>
            </w:pPr>
            <w:r w:rsidRPr="00D66B3E">
              <w:rPr>
                <w:sz w:val="20"/>
                <w:szCs w:val="20"/>
              </w:rPr>
              <w:t xml:space="preserve">В 2019 году не введена ВПП в аэропорту Хабаровск в связи с </w:t>
            </w:r>
            <w:r w:rsidRPr="00D66B3E">
              <w:rPr>
                <w:sz w:val="20"/>
                <w:szCs w:val="20"/>
              </w:rPr>
              <w:lastRenderedPageBreak/>
              <w:t>необходимостью корректировки проектных решений 2015 года в части положения стартовой аварийно-спасательной станции и очистных сооружений, светосигнального оборудования аэродрома, приведения проектных решений в соответствие с действующими нормами (устройство технических средств охраны и видеонаблюдения периметра аэродрома). Скорректированная проектная документация 11 ноября 2019 г. направлена на рассмотрение в ФАУ «Главгосэкспертиза России», заключение экспертизы  получено. Подготовле</w:t>
            </w:r>
            <w:r>
              <w:rPr>
                <w:sz w:val="20"/>
                <w:szCs w:val="20"/>
              </w:rPr>
              <w:t xml:space="preserve">н согласованный </w:t>
            </w:r>
            <w:r w:rsidRPr="00D66B3E">
              <w:rPr>
                <w:sz w:val="20"/>
                <w:szCs w:val="20"/>
              </w:rPr>
              <w:t>с генеральным подрядчиком календарный план-график, предусматривающий ввод объекта в эксплуатацию 31.08.2020.</w:t>
            </w:r>
            <w:bookmarkStart w:id="1" w:name="_GoBack"/>
            <w:bookmarkEnd w:id="1"/>
          </w:p>
        </w:tc>
      </w:tr>
      <w:tr w:rsidR="00087745" w:rsidRPr="00087745" w:rsidTr="00D66B3E">
        <w:trPr>
          <w:trHeight w:val="81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Амурская область</w:t>
            </w:r>
          </w:p>
        </w:tc>
      </w:tr>
      <w:tr w:rsidR="00087745" w:rsidRPr="00087745" w:rsidTr="00D66B3E">
        <w:trPr>
          <w:trHeight w:val="855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1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477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6B3E" w:rsidRPr="00087745" w:rsidTr="00D66B3E">
        <w:tc>
          <w:tcPr>
            <w:tcW w:w="4551" w:type="dxa"/>
            <w:vMerge w:val="restart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D66B3E" w:rsidRPr="00087745" w:rsidRDefault="00D66B3E" w:rsidP="00D66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D66B3E" w:rsidRPr="00D66B3E" w:rsidRDefault="00D66B3E" w:rsidP="00D66B3E">
            <w:pPr>
              <w:pStyle w:val="TableParagraph"/>
              <w:rPr>
                <w:sz w:val="20"/>
                <w:szCs w:val="20"/>
              </w:rPr>
            </w:pPr>
            <w:r w:rsidRPr="00385A0D">
              <w:rPr>
                <w:sz w:val="20"/>
                <w:szCs w:val="20"/>
              </w:rPr>
              <w:t>В 2019 году не  введена ВПП Бомнак.</w:t>
            </w:r>
          </w:p>
          <w:p w:rsidR="00D66B3E" w:rsidRPr="00D66B3E" w:rsidRDefault="00D66B3E" w:rsidP="00D66B3E">
            <w:pPr>
              <w:pStyle w:val="TableParagraph"/>
              <w:tabs>
                <w:tab w:val="left" w:pos="1489"/>
                <w:tab w:val="left" w:pos="2713"/>
                <w:tab w:val="left" w:pos="3063"/>
              </w:tabs>
              <w:rPr>
                <w:sz w:val="20"/>
                <w:szCs w:val="20"/>
              </w:rPr>
            </w:pPr>
            <w:r w:rsidRPr="00385A0D">
              <w:rPr>
                <w:sz w:val="20"/>
                <w:szCs w:val="20"/>
              </w:rPr>
              <w:t>Реконструкция объекта завершена в полном объеме, однако объект не был введен в эксплуатацию в 2019 году по причине отсутствия нормативного акта на земельный участок под реконструкцию объекта. ФКП «Аэропорты Дальнего Востока» проведены мероприятия по переводу земельного  участка 28:13:000000 947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для размещения посадочной площадки.</w:t>
            </w:r>
          </w:p>
          <w:p w:rsidR="00D66B3E" w:rsidRPr="00D66B3E" w:rsidRDefault="00D66B3E" w:rsidP="00D66B3E">
            <w:pPr>
              <w:pStyle w:val="TableParagraph"/>
              <w:tabs>
                <w:tab w:val="left" w:pos="1525"/>
                <w:tab w:val="left" w:pos="2454"/>
                <w:tab w:val="left" w:pos="2809"/>
              </w:tabs>
              <w:rPr>
                <w:sz w:val="20"/>
                <w:szCs w:val="20"/>
              </w:rPr>
            </w:pPr>
            <w:r w:rsidRPr="00385A0D">
              <w:rPr>
                <w:sz w:val="20"/>
                <w:szCs w:val="20"/>
              </w:rPr>
              <w:t>Перевод земель утвержден распоряжением</w:t>
            </w:r>
            <w:r>
              <w:rPr>
                <w:sz w:val="20"/>
                <w:szCs w:val="20"/>
              </w:rPr>
              <w:t xml:space="preserve"> </w:t>
            </w:r>
            <w:r w:rsidRPr="00385A0D">
              <w:rPr>
                <w:sz w:val="20"/>
                <w:szCs w:val="20"/>
              </w:rPr>
              <w:t>Правительства Российской   Федерации   от 18.01.2020</w:t>
            </w:r>
            <w:r>
              <w:rPr>
                <w:sz w:val="20"/>
                <w:szCs w:val="20"/>
              </w:rPr>
              <w:t xml:space="preserve"> </w:t>
            </w:r>
            <w:r w:rsidRPr="00D66B3E">
              <w:rPr>
                <w:sz w:val="20"/>
                <w:szCs w:val="20"/>
              </w:rPr>
              <w:t>№ 35-р.</w:t>
            </w:r>
          </w:p>
          <w:p w:rsidR="00D66B3E" w:rsidRPr="00D66B3E" w:rsidRDefault="00D66B3E" w:rsidP="00D66B3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соответствии с "Дорожной картой" по обеспечению ввода в эксплуатацию объектов, не введенных в установленные сроки проведена корректировка документации. </w:t>
            </w:r>
            <w:r w:rsidRPr="00D66B3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Срок  получения заключения государственной экспертизы на откорректированное ПСД -июль 2020 года, получение ЗОС Ростехнадзора ожидается в августе 2020 года.</w:t>
            </w:r>
          </w:p>
        </w:tc>
      </w:tr>
      <w:tr w:rsidR="00087745" w:rsidRPr="00087745" w:rsidTr="00D66B3E"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7745" w:rsidRPr="00087745" w:rsidTr="00D66B3E">
        <w:trPr>
          <w:trHeight w:val="315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Камчатский край</w:t>
            </w:r>
          </w:p>
        </w:tc>
      </w:tr>
      <w:tr w:rsidR="00087745" w:rsidRPr="00087745" w:rsidTr="00D66B3E">
        <w:trPr>
          <w:trHeight w:val="600"/>
        </w:trPr>
        <w:tc>
          <w:tcPr>
            <w:tcW w:w="7291" w:type="dxa"/>
            <w:gridSpan w:val="2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10"/>
        </w:trPr>
        <w:tc>
          <w:tcPr>
            <w:tcW w:w="4551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Магаданская область</w:t>
            </w:r>
          </w:p>
        </w:tc>
      </w:tr>
      <w:tr w:rsidR="00087745" w:rsidRPr="00087745" w:rsidTr="00D66B3E">
        <w:trPr>
          <w:trHeight w:val="855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870"/>
        </w:trPr>
        <w:tc>
          <w:tcPr>
            <w:tcW w:w="4551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55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8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63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Бурятия</w:t>
            </w:r>
          </w:p>
        </w:tc>
      </w:tr>
      <w:tr w:rsidR="00087745" w:rsidRPr="00087745" w:rsidTr="00D66B3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915"/>
        </w:trPr>
        <w:tc>
          <w:tcPr>
            <w:tcW w:w="4551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Чукотский автономный округ</w:t>
            </w:r>
          </w:p>
        </w:tc>
      </w:tr>
      <w:tr w:rsidR="00087745" w:rsidRPr="00087745" w:rsidTr="00D66B3E">
        <w:trPr>
          <w:trHeight w:val="795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Забайкальский край</w:t>
            </w:r>
          </w:p>
        </w:tc>
      </w:tr>
      <w:tr w:rsidR="00087745" w:rsidRPr="00087745" w:rsidTr="00D66B3E">
        <w:trPr>
          <w:trHeight w:val="810"/>
        </w:trPr>
        <w:tc>
          <w:tcPr>
            <w:tcW w:w="4551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bottom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Завершение реконструкции (строительства) вспомогательных объектов аэропортовой </w:t>
            </w: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087745" w:rsidRPr="00087745" w:rsidRDefault="00087745" w:rsidP="0008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46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087745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87745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087745" w:rsidRPr="00087745" w:rsidRDefault="00087745" w:rsidP="0008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21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Прирост производственной мощности Российских морских портов, млн. 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440A80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25,95 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показатель по субъекту превышает плановое значение, поскольку мероприятие «Строительство 3-й очереди угольного терминала в морском порту Восточный» учтено в 2019 году согласно разрешению на ввод в эксплуатацию объекта, хотя фактическое завершение строительно-монтажных работ состоялось в 2018 году.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9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440A80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25,95 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показатель по субъекту не достигнут по причине переноса на 2020 год ответственным исполнителем срока завершения мероприятия «1-й этап Строительства специализированного угольного перегрузочного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комплекса в бухте Мучке, Хабаровский край».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I. Дальневосточный федеральный округ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Прирост протяженности автомобильных дорог общего пользования регионального или межмуниципального и местного значения, приведенных в соответствие нормативным требованиям к транспортно-эксплуатационным показателям в результате </w:t>
            </w: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строительства и реконструкции автомобильных дорог, в отчетном году, км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5,797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8774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(подпрограмма) "Железнодорожный транспорт"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 реконструкция железнодорожных путей,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8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(подпрограмма) "Дорожное хозяйство"</w:t>
            </w:r>
          </w:p>
        </w:tc>
      </w:tr>
      <w:tr w:rsidR="00440A80" w:rsidRPr="00087745" w:rsidTr="00D66B3E">
        <w:trPr>
          <w:trHeight w:val="153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 с паспортом федерального проекта "Дорожная сеть" выделение АЗРФ не предусмотрено. Данные указаны в целом по Архангельской области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4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15,90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15,90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40,20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3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1,13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5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5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по МКДТП: чем значение меньше, тем лучше, план перевыполнен.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5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38,10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41,30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41,30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0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8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34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 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2,52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27,80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34,50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69,80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89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6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2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62,50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63,10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41,10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54,60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54,60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Ямало-Ненецкий автономный округ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66,90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66,90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9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Мурманская область</w:t>
            </w:r>
          </w:p>
        </w:tc>
      </w:tr>
      <w:tr w:rsidR="00440A80" w:rsidRPr="00087745" w:rsidTr="00D66B3E">
        <w:trPr>
          <w:trHeight w:val="87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Ненецкий АО</w:t>
            </w:r>
          </w:p>
        </w:tc>
      </w:tr>
      <w:tr w:rsidR="00440A80" w:rsidRPr="00087745" w:rsidTr="00D66B3E">
        <w:trPr>
          <w:trHeight w:val="840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50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0773" w:type="dxa"/>
            <w:gridSpan w:val="4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 АО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5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00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Архангельская область</w:t>
            </w:r>
          </w:p>
        </w:tc>
      </w:tr>
      <w:tr w:rsidR="00440A80" w:rsidRPr="00087745" w:rsidTr="00D66B3E">
        <w:trPr>
          <w:trHeight w:val="795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Красноярский край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00"/>
        </w:trPr>
        <w:tc>
          <w:tcPr>
            <w:tcW w:w="4551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3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III. Северо-Кавказский федеральный округ</w:t>
            </w:r>
          </w:p>
        </w:tc>
      </w:tr>
      <w:tr w:rsidR="00440A80" w:rsidRPr="00087745" w:rsidTr="00D66B3E">
        <w:trPr>
          <w:trHeight w:val="63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40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5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60,80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64,70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64,70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0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1,62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59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 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2,44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265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112,89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на объекте не завершены, в связи с отсутсвием возможности выполнения полного комплекса СМР из-за несогласия собственников с оценочной стоимостью выкупов земельных участков. В 2019 году введен I этап объекта. II этап объекта будет введен в 2020 году.</w:t>
            </w:r>
          </w:p>
        </w:tc>
      </w:tr>
      <w:tr w:rsidR="00440A80" w:rsidRPr="00087745" w:rsidTr="00D66B3E">
        <w:trPr>
          <w:trHeight w:val="151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26,37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25,37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8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58,60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5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3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1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2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4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57,20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4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71,43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73,72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73,72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5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4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14,79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0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15,66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25,73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27,11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9,70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71,00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15,02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14,47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Северная Осетия-Алания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2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51,50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51,50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51,50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9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63,30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65,20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2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4,70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5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1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58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47,20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29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29,10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38,40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9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73,00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9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и реконструированных участков автомобильных дорог федерального значения,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234,77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248,47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11,81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11,81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1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112,89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13,97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5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9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74,91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74,70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74,70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4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62,70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5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1,52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0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7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440A80" w:rsidRPr="00087745" w:rsidTr="00D66B3E">
        <w:trPr>
          <w:trHeight w:val="45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Ставропольский край</w:t>
            </w:r>
          </w:p>
        </w:tc>
      </w:tr>
      <w:tr w:rsidR="00440A80" w:rsidRPr="00087745" w:rsidTr="00D66B3E">
        <w:trPr>
          <w:trHeight w:val="720"/>
        </w:trPr>
        <w:tc>
          <w:tcPr>
            <w:tcW w:w="7291" w:type="dxa"/>
            <w:gridSpan w:val="2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9" w:type="dxa"/>
            <w:gridSpan w:val="2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00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3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1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8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05"/>
        </w:trPr>
        <w:tc>
          <w:tcPr>
            <w:tcW w:w="4551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740" w:type="dxa"/>
            <w:shd w:val="clear" w:color="auto" w:fill="auto"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5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69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85"/>
        </w:trPr>
        <w:tc>
          <w:tcPr>
            <w:tcW w:w="4551" w:type="dxa"/>
            <w:vMerge w:val="restart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2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0" w:type="dxa"/>
            <w:shd w:val="clear" w:color="auto" w:fill="auto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IV. Калининградская область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39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40A80" w:rsidRPr="00087745" w:rsidTr="00D66B3E">
        <w:trPr>
          <w:trHeight w:val="84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4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35,90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37,50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9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56,90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59,50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60,40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45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2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4,60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по перегрузке: чем значение меньше, тем лучше, план перевыполнен.</w:t>
            </w:r>
          </w:p>
        </w:tc>
      </w:tr>
      <w:tr w:rsidR="00440A80" w:rsidRPr="00087745" w:rsidTr="00D66B3E">
        <w:trPr>
          <w:trHeight w:val="112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84,20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84,20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84,20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40A80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7291" w:type="dxa"/>
            <w:gridSpan w:val="2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6B3E" w:rsidRPr="00087745" w:rsidTr="00D66B3E">
        <w:trPr>
          <w:trHeight w:val="3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D66B3E" w:rsidRPr="00087745" w:rsidRDefault="00D66B3E" w:rsidP="00D6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производственной мощности Российских морских портов, млн.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D66B3E" w:rsidRPr="00087745" w:rsidRDefault="00D66B3E" w:rsidP="00D6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  <w:hideMark/>
          </w:tcPr>
          <w:p w:rsidR="00D66B3E" w:rsidRPr="00087745" w:rsidRDefault="00D66B3E" w:rsidP="00D6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66B3E" w:rsidRPr="00087745" w:rsidRDefault="00D66B3E" w:rsidP="00D6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66B3E" w:rsidRPr="00440A80" w:rsidRDefault="00D66B3E" w:rsidP="00D66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25,95 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D66B3E" w:rsidRPr="00D66B3E" w:rsidRDefault="00D66B3E" w:rsidP="00D66B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Невыполнение показателя обусловлено переносами </w:t>
            </w: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ответственными исполнителями срока завершения работ  по следующим объектам:</w:t>
            </w:r>
          </w:p>
          <w:p w:rsidR="00D66B3E" w:rsidRPr="00D66B3E" w:rsidRDefault="00D66B3E" w:rsidP="00D66B3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- 1-й этап cтроительства специализированного угольного перегрузочного комплекса в бухте Мучке, Хабаровский край. В связи с ненадлежащим исполнением ООО "БалтМорСтрой" контракта ФГУП "Росморпорт" 22.08.2019 направлено уведомление ООО "БалтМорСтрой" об одностороннем отказе от его исполнения. Для завершения работ по строительству и ввода в эксплуатацию заключен договор от 02.09.2019 с ООО "ВАН ООРД РДМК" с финансированием работ за счет собственных средств ФГУП "Росморпорт". Сроки ввода объекта в эксплуатацию перенесены на 2020 год;</w:t>
            </w:r>
          </w:p>
          <w:p w:rsidR="00D66B3E" w:rsidRPr="00D66B3E" w:rsidRDefault="00D66B3E" w:rsidP="00D66B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строительство комплекса по производству, хранению и отгрузке СПГ в районе КС «Портовая» Ленинградской области. На основании письма ООО «Гаспроминвест» от 29.10.2019 № 05/012-54703 сроки ввода объекта в перенесены на 2020 год;</w:t>
            </w:r>
          </w:p>
          <w:p w:rsidR="00D66B3E" w:rsidRPr="00D66B3E" w:rsidRDefault="00D66B3E" w:rsidP="00D66B3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Строительство морского международного грузопассажирского района в г. Пионерский, Калининградская область. </w:t>
            </w: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 ввода в эксплуатацию перенесен на 2021 год в связи с  расторжением контракта с подрядчиком (ООО «Больверк») ввиду банкротства подрядной организации, срыва сроков строительства и неисполнения принятых обязательств по инвестированию в коммерческую часть проекта. Перенос срока ввода учтен постановлением Правительства Российской Федерации от 27.12.2019 № 1926 «О внесении изменений в государственную программу Российской Федерации «Развитие транспортной системы»;</w:t>
            </w:r>
          </w:p>
          <w:p w:rsidR="00D66B3E" w:rsidRPr="00D66B3E" w:rsidRDefault="00D66B3E" w:rsidP="00D66B3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 этап строительства терминала навалочных грузов в морском порту Тамань – отсутствует подтверждение ввода мощностей от инвестора (ООО «ОТЭКО-Портсервис»).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72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144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318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920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0A80" w:rsidRPr="00087745" w:rsidTr="00D66B3E">
        <w:trPr>
          <w:trHeight w:val="6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V. Байкальский регион</w:t>
            </w:r>
          </w:p>
        </w:tc>
      </w:tr>
      <w:tr w:rsidR="00440A80" w:rsidRPr="00087745" w:rsidTr="00D66B3E">
        <w:trPr>
          <w:trHeight w:val="54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54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440A80" w:rsidRPr="00087745" w:rsidTr="00D66B3E">
        <w:trPr>
          <w:trHeight w:val="540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Кемеровская область, Иркутская область (показатель не разбивается в разрезе субъектов) 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3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42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эксплуатацию дополнительных главных и станционных путей,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45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7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область, Иркутская область (показатель не разбивается в разрезе субъектов)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49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VI. Республика Крым и г. Севастополь</w:t>
            </w:r>
          </w:p>
        </w:tc>
      </w:tr>
      <w:tr w:rsidR="00440A80" w:rsidRPr="00087745" w:rsidTr="00D66B3E">
        <w:trPr>
          <w:trHeight w:val="49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495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82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3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21,60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23,68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20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0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39,00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46,20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463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1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9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9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регионального значения, соответствующих нормативным требованиям,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43,10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44,18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44,90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80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Доля дорожной сети городских агломераций, находящихся в нормативном состоянии,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35,70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48,90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48,90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1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Доля автомобильных дорог федерального и регионального значения, работающих в режиме перегрузки,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76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3,10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512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%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91,70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60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 субъекту Российской Федерации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83,00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показатель по МКДТП: чем значение меньше, тем лучше, план перевыполнен.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V. Байкальский регион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40A80" w:rsidRPr="00087745" w:rsidTr="00D66B3E">
        <w:trPr>
          <w:trHeight w:val="300"/>
        </w:trPr>
        <w:tc>
          <w:tcPr>
            <w:tcW w:w="15252" w:type="dxa"/>
            <w:gridSpan w:val="6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440A80" w:rsidRPr="00087745" w:rsidTr="00D66B3E">
        <w:trPr>
          <w:trHeight w:val="300"/>
        </w:trPr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97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Кемеровская область, Иркутская область (показатель не разбивается в разрезе субъектов) 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035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46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эксплуатацию дополнительных главных и станционных путей, км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585"/>
        </w:trPr>
        <w:tc>
          <w:tcPr>
            <w:tcW w:w="4551" w:type="dxa"/>
            <w:vMerge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 субъекту Российской Федерации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10,1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81650B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50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40A80" w:rsidRPr="00087745" w:rsidTr="00D66B3E">
        <w:trPr>
          <w:trHeight w:val="1170"/>
        </w:trPr>
        <w:tc>
          <w:tcPr>
            <w:tcW w:w="4551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область, Иркутская область (показатель не разбивается в разрезе субъектов)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440A80" w:rsidRPr="00087745" w:rsidRDefault="00440A80" w:rsidP="0044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774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537DE" w:rsidRDefault="001537DE"/>
    <w:sectPr w:rsidR="001537DE" w:rsidSect="006509EA">
      <w:headerReference w:type="default" r:id="rId7"/>
      <w:pgSz w:w="16839" w:h="11907" w:orient="landscape" w:code="9"/>
      <w:pgMar w:top="851" w:right="238" w:bottom="244" w:left="24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D9" w:rsidRDefault="004B0DD9" w:rsidP="006509EA">
      <w:pPr>
        <w:spacing w:after="0" w:line="240" w:lineRule="auto"/>
      </w:pPr>
      <w:r>
        <w:separator/>
      </w:r>
    </w:p>
  </w:endnote>
  <w:endnote w:type="continuationSeparator" w:id="0">
    <w:p w:rsidR="004B0DD9" w:rsidRDefault="004B0DD9" w:rsidP="0065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D9" w:rsidRDefault="004B0DD9" w:rsidP="006509EA">
      <w:pPr>
        <w:spacing w:after="0" w:line="240" w:lineRule="auto"/>
      </w:pPr>
      <w:r>
        <w:separator/>
      </w:r>
    </w:p>
  </w:footnote>
  <w:footnote w:type="continuationSeparator" w:id="0">
    <w:p w:rsidR="004B0DD9" w:rsidRDefault="004B0DD9" w:rsidP="0065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25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6B3E" w:rsidRDefault="00D66B3E">
        <w:pPr>
          <w:pStyle w:val="a5"/>
          <w:jc w:val="center"/>
        </w:pPr>
        <w:r w:rsidRPr="006509EA">
          <w:rPr>
            <w:rFonts w:ascii="Times New Roman" w:hAnsi="Times New Roman" w:cs="Times New Roman"/>
          </w:rPr>
          <w:fldChar w:fldCharType="begin"/>
        </w:r>
        <w:r w:rsidRPr="006509EA">
          <w:rPr>
            <w:rFonts w:ascii="Times New Roman" w:hAnsi="Times New Roman" w:cs="Times New Roman"/>
          </w:rPr>
          <w:instrText xml:space="preserve"> PAGE   \* MERGEFORMAT </w:instrText>
        </w:r>
        <w:r w:rsidRPr="006509EA">
          <w:rPr>
            <w:rFonts w:ascii="Times New Roman" w:hAnsi="Times New Roman" w:cs="Times New Roman"/>
          </w:rPr>
          <w:fldChar w:fldCharType="separate"/>
        </w:r>
        <w:r w:rsidR="004F4FC7">
          <w:rPr>
            <w:rFonts w:ascii="Times New Roman" w:hAnsi="Times New Roman" w:cs="Times New Roman"/>
            <w:noProof/>
          </w:rPr>
          <w:t>18</w:t>
        </w:r>
        <w:r w:rsidRPr="006509EA">
          <w:rPr>
            <w:rFonts w:ascii="Times New Roman" w:hAnsi="Times New Roman" w:cs="Times New Roman"/>
          </w:rPr>
          <w:fldChar w:fldCharType="end"/>
        </w:r>
      </w:p>
    </w:sdtContent>
  </w:sdt>
  <w:p w:rsidR="00D66B3E" w:rsidRDefault="00D66B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745"/>
    <w:rsid w:val="00087745"/>
    <w:rsid w:val="001537DE"/>
    <w:rsid w:val="00440A80"/>
    <w:rsid w:val="00456FCE"/>
    <w:rsid w:val="00496A2F"/>
    <w:rsid w:val="004B0DD9"/>
    <w:rsid w:val="004F4FC7"/>
    <w:rsid w:val="0055278F"/>
    <w:rsid w:val="006509EA"/>
    <w:rsid w:val="0081650B"/>
    <w:rsid w:val="00BF3C0B"/>
    <w:rsid w:val="00D66B3E"/>
    <w:rsid w:val="00D67A81"/>
    <w:rsid w:val="00E14E51"/>
    <w:rsid w:val="00F86271"/>
    <w:rsid w:val="00F9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DC18B-AE2D-4732-ACC3-E7783432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7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7745"/>
    <w:rPr>
      <w:color w:val="800080"/>
      <w:u w:val="single"/>
    </w:rPr>
  </w:style>
  <w:style w:type="paragraph" w:customStyle="1" w:styleId="xl63">
    <w:name w:val="xl6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0877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8774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8774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87745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8">
    <w:name w:val="xl7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9">
    <w:name w:val="xl7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08774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8774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877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23">
    <w:name w:val="xl12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87745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877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0877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5">
    <w:name w:val="xl14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6">
    <w:name w:val="xl146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0877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0877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09EA"/>
  </w:style>
  <w:style w:type="paragraph" w:styleId="a7">
    <w:name w:val="footer"/>
    <w:basedOn w:val="a"/>
    <w:link w:val="a8"/>
    <w:uiPriority w:val="99"/>
    <w:semiHidden/>
    <w:unhideWhenUsed/>
    <w:rsid w:val="00650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09EA"/>
  </w:style>
  <w:style w:type="paragraph" w:customStyle="1" w:styleId="TableParagraph">
    <w:name w:val="Table Paragraph"/>
    <w:basedOn w:val="a"/>
    <w:uiPriority w:val="1"/>
    <w:qFormat/>
    <w:rsid w:val="00D66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D66B3E"/>
    <w:pPr>
      <w:suppressLineNumbers/>
      <w:overflowPunct w:val="0"/>
      <w:spacing w:after="0" w:line="240" w:lineRule="auto"/>
    </w:pPr>
    <w:rPr>
      <w:rFonts w:ascii="Times New Roman" w:eastAsia="Tahoma" w:hAnsi="Times New Roman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BB85B-86F3-4458-AEB8-64C4AF0D6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44</Pages>
  <Words>7705</Words>
  <Characters>43920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9</cp:revision>
  <dcterms:created xsi:type="dcterms:W3CDTF">2020-02-20T11:59:00Z</dcterms:created>
  <dcterms:modified xsi:type="dcterms:W3CDTF">2020-04-21T09:12:00Z</dcterms:modified>
</cp:coreProperties>
</file>