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F3" w:rsidRPr="00473B6E" w:rsidRDefault="004D57F3" w:rsidP="004D57F3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473B6E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Методика </w:t>
      </w:r>
    </w:p>
    <w:p w:rsidR="003617F8" w:rsidRPr="00473B6E" w:rsidRDefault="003617F8" w:rsidP="004D57F3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proofErr w:type="spellStart"/>
      <w:r w:rsidRPr="00473B6E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приоритизации</w:t>
      </w:r>
      <w:proofErr w:type="spellEnd"/>
      <w:r w:rsidRPr="00473B6E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проектов по строительству и реконструкции автомобильных дорог общего пользования</w:t>
      </w:r>
    </w:p>
    <w:p w:rsidR="004D57F3" w:rsidRDefault="004D57F3" w:rsidP="003617F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3617F8" w:rsidRPr="003617F8" w:rsidRDefault="003617F8" w:rsidP="003617F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617F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 соответствии с предлагаемыми ниже критериями распределяется не более </w:t>
      </w:r>
      <w:r w:rsidRPr="003617F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br/>
        <w:t xml:space="preserve">80-90% объема предусмотренных федеральным законом о федеральном бюджете на очередной финансовый год и на плановый период иных межбюджетных трансфертов. </w:t>
      </w:r>
    </w:p>
    <w:p w:rsidR="003617F8" w:rsidRDefault="003617F8" w:rsidP="003617F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617F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При распределении иных межбюджетных трансфертов в первую очередь учитывается необходимость продолжения (завершения) реализации мероприятий, </w:t>
      </w:r>
      <w:r w:rsidR="00D536B2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br/>
      </w:r>
      <w:r w:rsidRPr="003617F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 целях </w:t>
      </w:r>
      <w:proofErr w:type="gramStart"/>
      <w:r w:rsidRPr="003617F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финансирования</w:t>
      </w:r>
      <w:proofErr w:type="gramEnd"/>
      <w:r w:rsidRPr="003617F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которых ранее были предоставлены бюджетные ассигнования из федерального бюджета</w:t>
      </w:r>
      <w:r w:rsidR="0060782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, а также </w:t>
      </w:r>
      <w:r w:rsidR="00A30F8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реализации </w:t>
      </w:r>
      <w:r w:rsidR="0060782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проект</w:t>
      </w:r>
      <w:r w:rsidR="00A30F8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ов, в отношении которых имеются </w:t>
      </w:r>
      <w:r w:rsidR="00A30F8E" w:rsidRPr="0060782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однозначн</w:t>
      </w:r>
      <w:r w:rsidR="00A30F8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ы</w:t>
      </w:r>
      <w:r w:rsidR="00A30F8E" w:rsidRPr="0060782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е указани</w:t>
      </w:r>
      <w:r w:rsidR="00A30F8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я и</w:t>
      </w:r>
      <w:r w:rsidR="00A30F8E" w:rsidRPr="0060782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07826" w:rsidRPr="0060782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поручени</w:t>
      </w:r>
      <w:r w:rsidR="00A30F8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я</w:t>
      </w:r>
      <w:r w:rsidR="00607826" w:rsidRPr="0060782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Президента Российской Федерации и (или) Правительства Российской Федерации</w:t>
      </w:r>
      <w:r w:rsidR="00A30F8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по их поддержке</w:t>
      </w:r>
      <w:r w:rsidR="00607826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.</w:t>
      </w:r>
      <w:r w:rsidR="00607826" w:rsidRPr="003617F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617F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При этом финансовое обеспечение мероприятий, завершаемых в году предоставления иных межбюджетных трансфертов, учитывается в полном объеме, необходимом для их завершения с учетом потребности субъекта Российской Федерации. Далее – пропорционально потребности остальных субъектов Российской Федерации.</w:t>
      </w:r>
    </w:p>
    <w:p w:rsidR="003617F8" w:rsidRPr="003617F8" w:rsidRDefault="003617F8" w:rsidP="003617F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617F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При распределении оставшейся суммы иных межбюджетных трансфертов на новые, с точки зрения финансирования с использованием федеральных средств мероприятия, используется балльная оценка в соответствии со следующими критериями:</w:t>
      </w:r>
    </w:p>
    <w:p w:rsidR="003617F8" w:rsidRPr="003617F8" w:rsidRDefault="003617F8" w:rsidP="003617F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</w:pPr>
    </w:p>
    <w:tbl>
      <w:tblPr>
        <w:tblStyle w:val="a3"/>
        <w:tblW w:w="0" w:type="auto"/>
        <w:tblInd w:w="30" w:type="dxa"/>
        <w:tblLook w:val="04A0" w:firstRow="1" w:lastRow="0" w:firstColumn="1" w:lastColumn="0" w:noHBand="0" w:noVBand="1"/>
      </w:tblPr>
      <w:tblGrid>
        <w:gridCol w:w="1012"/>
        <w:gridCol w:w="9102"/>
      </w:tblGrid>
      <w:tr w:rsidR="003617F8" w:rsidRPr="003617F8" w:rsidTr="002B3D49">
        <w:trPr>
          <w:trHeight w:val="468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Критерии </w:t>
            </w:r>
            <w:proofErr w:type="spellStart"/>
            <w:r w:rsidRPr="003617F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приоритизации</w:t>
            </w:r>
            <w:proofErr w:type="spellEnd"/>
            <w:r w:rsidRPr="003617F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проектов в дорожном хозяйстве</w:t>
            </w:r>
          </w:p>
        </w:tc>
      </w:tr>
      <w:tr w:rsidR="003617F8" w:rsidRPr="003617F8" w:rsidTr="00607826">
        <w:trPr>
          <w:trHeight w:val="651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705" w:firstLine="851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102" w:type="dxa"/>
            <w:hideMark/>
          </w:tcPr>
          <w:p w:rsidR="003617F8" w:rsidRPr="003617F8" w:rsidRDefault="003617F8" w:rsidP="001C1F03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Наличие поручений Президента </w:t>
            </w:r>
            <w:r w:rsidR="001C1F0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Российской Федерации </w:t>
            </w:r>
            <w:r w:rsidRPr="003617F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и Правительства Российской Федерации (</w:t>
            </w:r>
            <w:r w:rsidR="001C1F0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</w:t>
            </w:r>
            <w:r w:rsidRPr="003617F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балл</w:t>
            </w:r>
            <w:r w:rsidR="001C1F0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ов</w:t>
            </w:r>
            <w:r w:rsidRPr="003617F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)</w:t>
            </w:r>
          </w:p>
        </w:tc>
      </w:tr>
      <w:tr w:rsidR="003617F8" w:rsidRPr="003617F8" w:rsidTr="002B3D49">
        <w:trPr>
          <w:trHeight w:val="750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Удельный вес федерального финансирования меньше 50% общей стоимости проекта - 1 балл</w:t>
            </w:r>
          </w:p>
        </w:tc>
      </w:tr>
      <w:tr w:rsidR="003617F8" w:rsidRPr="003617F8" w:rsidTr="002B3D49">
        <w:trPr>
          <w:trHeight w:val="1125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Удельный вес федерального финансирования меньше предельного уровня </w:t>
            </w:r>
            <w:proofErr w:type="spellStart"/>
            <w:r w:rsidRPr="003617F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софинансирования</w:t>
            </w:r>
            <w:proofErr w:type="spellEnd"/>
            <w:r w:rsidRPr="003617F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, установленного актом Правительства Российской Федерации на первый год реализации проекта - 0,5 баллов</w:t>
            </w:r>
          </w:p>
        </w:tc>
      </w:tr>
      <w:tr w:rsidR="003617F8" w:rsidRPr="003617F8" w:rsidTr="002B3D49">
        <w:trPr>
          <w:trHeight w:val="1218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Группа 1 – вклад в достижение национальных целей и задач Комплексного плана модернизации и расширения магистральной инфраструктуры на период до 2024 года. Проект вносит существенный вклад в следующие направления развития (дается 2 балла за каждый пункт)</w:t>
            </w:r>
          </w:p>
        </w:tc>
      </w:tr>
      <w:tr w:rsidR="003617F8" w:rsidRPr="003617F8" w:rsidTr="002B3D49">
        <w:trPr>
          <w:trHeight w:val="700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Строительство и модернизация российских участков автомобильных дорог, относящихся к международному транспортному маршруту "Европа - Западный Китай"</w:t>
            </w:r>
          </w:p>
        </w:tc>
      </w:tr>
      <w:tr w:rsidR="003617F8" w:rsidRPr="003617F8" w:rsidTr="002B3D49">
        <w:trPr>
          <w:trHeight w:val="750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Увеличение пропускной способности автомобильных дорог - подходов к морским портам Азово-Черноморского бассейна</w:t>
            </w:r>
          </w:p>
        </w:tc>
      </w:tr>
      <w:tr w:rsidR="003617F8" w:rsidRPr="003617F8" w:rsidTr="002B3D49">
        <w:trPr>
          <w:trHeight w:val="948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Развитие транспортных коммуникаций между административными центрами субъектов Российской Федерации и другими городами – центрами экономического роста</w:t>
            </w:r>
          </w:p>
        </w:tc>
      </w:tr>
      <w:tr w:rsidR="003617F8" w:rsidRPr="003617F8" w:rsidTr="002B3D49">
        <w:trPr>
          <w:trHeight w:val="864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Проект реализуется на территории перспективных центров экономического роста или способствует росту транспортной связанности перспективных центров экономического роста Стратегии пространственного развития Российской Федерации</w:t>
            </w:r>
          </w:p>
        </w:tc>
      </w:tr>
      <w:tr w:rsidR="003617F8" w:rsidRPr="003617F8" w:rsidTr="002B3D49">
        <w:trPr>
          <w:trHeight w:val="405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Проект обеспечивает национальную безопасность</w:t>
            </w:r>
          </w:p>
        </w:tc>
      </w:tr>
      <w:tr w:rsidR="003617F8" w:rsidRPr="003617F8" w:rsidTr="002B3D49">
        <w:trPr>
          <w:trHeight w:val="588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 результате реализации проекта обеспечивается ликвидация места концентрации ДТП</w:t>
            </w:r>
          </w:p>
        </w:tc>
      </w:tr>
      <w:tr w:rsidR="003617F8" w:rsidRPr="003617F8" w:rsidTr="002B3D49">
        <w:trPr>
          <w:trHeight w:val="1200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Группа 2 – вклад в достижение национальных целей в сфере ускорения темпов экономического роста, в том числе за счет косвенных эффектов, соответствие целям и задачам пространственного развития (дается 1 балл за каждый пункт)</w:t>
            </w:r>
          </w:p>
        </w:tc>
      </w:tr>
      <w:tr w:rsidR="003617F8" w:rsidRPr="003617F8" w:rsidTr="002B3D49">
        <w:trPr>
          <w:trHeight w:val="750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Проект обеспечивает транспортную доступность инвестиционного проекта в иных отраслях экономики, реализация которого подтверждена инвестором     </w:t>
            </w:r>
          </w:p>
        </w:tc>
      </w:tr>
      <w:tr w:rsidR="003617F8" w:rsidRPr="003617F8" w:rsidTr="002B3D49">
        <w:trPr>
          <w:trHeight w:val="1291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Проект обеспечивает ускорение транзитных и экспортных перевозок на подходах и в пунктах пропуска через государственную границу РФ и по основным направлениям международных транспортных маршрутов по территории России, а также увеличение их объема</w:t>
            </w:r>
          </w:p>
        </w:tc>
      </w:tr>
      <w:tr w:rsidR="003617F8" w:rsidRPr="003617F8" w:rsidTr="002B3D49">
        <w:trPr>
          <w:trHeight w:val="658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Проект обеспечивает интеграцию не менее 2 видов транспорта и дает возможность </w:t>
            </w:r>
            <w:proofErr w:type="spellStart"/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мультимодальных</w:t>
            </w:r>
            <w:proofErr w:type="spellEnd"/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операций</w:t>
            </w:r>
          </w:p>
        </w:tc>
      </w:tr>
      <w:tr w:rsidR="003617F8" w:rsidRPr="003617F8" w:rsidTr="002B3D49">
        <w:trPr>
          <w:trHeight w:val="405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В результате реализации проект расшивает хотя бы одно узкое место </w:t>
            </w:r>
          </w:p>
        </w:tc>
      </w:tr>
      <w:tr w:rsidR="003617F8" w:rsidRPr="003617F8" w:rsidTr="002B3D49">
        <w:trPr>
          <w:trHeight w:val="748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Проект реализуется на территории Дальневосточного федерального округа/ Арктической зоны/ территории "отстающих" субъектов Российской Федерации </w:t>
            </w:r>
          </w:p>
        </w:tc>
      </w:tr>
      <w:tr w:rsidR="003617F8" w:rsidRPr="003617F8" w:rsidTr="002B3D49">
        <w:trPr>
          <w:trHeight w:val="750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Среднее время в пути между хотя бы 2-мя региональными центрами сократилось не менее, чем на 30%</w:t>
            </w:r>
          </w:p>
        </w:tc>
      </w:tr>
      <w:tr w:rsidR="003617F8" w:rsidRPr="003617F8" w:rsidTr="002B3D49">
        <w:trPr>
          <w:trHeight w:val="984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Реализация проекта обеспечивает появление нового (альтернативного) вида транспорта, нового направления, нового транспортного узла для связи двух или более регионов</w:t>
            </w:r>
          </w:p>
        </w:tc>
      </w:tr>
      <w:tr w:rsidR="003617F8" w:rsidRPr="003617F8" w:rsidTr="002B3D49">
        <w:trPr>
          <w:trHeight w:val="758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 результате реализации проекта приводится в нормативное состояние искусственное сооружение, находящееся в аварийном, предаварийном состоянии</w:t>
            </w:r>
          </w:p>
        </w:tc>
      </w:tr>
      <w:tr w:rsidR="003617F8" w:rsidRPr="003617F8" w:rsidTr="002B3D49">
        <w:trPr>
          <w:trHeight w:val="750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Объект является логическим ("маршрутным") продолжением объектов, которые ранее реализовывались за счет средств федерального бюджета</w:t>
            </w:r>
          </w:p>
        </w:tc>
      </w:tr>
      <w:tr w:rsidR="003617F8" w:rsidRPr="003617F8" w:rsidTr="002B3D49">
        <w:trPr>
          <w:trHeight w:val="1419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Группа 3 – привлекательность проекта для внебюджетных инвестиций (дается 1 балл за потенциальную возможность привлечения внебюджетных инвестиций/</w:t>
            </w:r>
            <w:r w:rsidRPr="003617F8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2 балла - при наличии оценки(заключения), подтверждающего возможность реализации на принципах ГЧП или наличие официальных договоренностей с инвестором)</w:t>
            </w:r>
          </w:p>
        </w:tc>
      </w:tr>
      <w:tr w:rsidR="003617F8" w:rsidRPr="003617F8" w:rsidTr="002B3D49">
        <w:trPr>
          <w:trHeight w:val="351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Реализация проекта предполагается с привлечением внебюджетных средств </w:t>
            </w:r>
          </w:p>
        </w:tc>
      </w:tr>
      <w:tr w:rsidR="003617F8" w:rsidRPr="003617F8" w:rsidTr="002B3D49">
        <w:trPr>
          <w:trHeight w:val="671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 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Группа 4 - обеспечение доступности и качества транспортных услуг для населения (дается 1 балл за каждый пункт)</w:t>
            </w:r>
          </w:p>
        </w:tc>
      </w:tr>
      <w:tr w:rsidR="003617F8" w:rsidRPr="003617F8" w:rsidTr="002B3D49">
        <w:trPr>
          <w:trHeight w:val="750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Проект реализуется в муниципальном образовании с населением свыше 300 </w:t>
            </w:r>
            <w:proofErr w:type="spellStart"/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тыс</w:t>
            </w:r>
            <w:proofErr w:type="spellEnd"/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человек или в моногороде</w:t>
            </w:r>
          </w:p>
        </w:tc>
      </w:tr>
      <w:tr w:rsidR="003617F8" w:rsidRPr="003617F8" w:rsidTr="002B3D49">
        <w:trPr>
          <w:trHeight w:val="906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 результате реализации проекта в агломерационный радиус (2 часа до центра) хотя бы одного города с населением более 500 тыс. человек попадают новые населенные пункты суммарной численностью не менее чем 50 тыс. человек</w:t>
            </w:r>
          </w:p>
        </w:tc>
      </w:tr>
      <w:tr w:rsidR="003617F8" w:rsidRPr="003617F8" w:rsidTr="002B3D49">
        <w:trPr>
          <w:trHeight w:val="680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Проект обеспечивает круглогодичную транспортную доступность по дорогам с твердым покрытием населенных пунктов </w:t>
            </w:r>
          </w:p>
        </w:tc>
      </w:tr>
      <w:tr w:rsidR="003617F8" w:rsidRPr="003617F8" w:rsidTr="002B3D49">
        <w:trPr>
          <w:trHeight w:val="405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Группа 5 – степень проработки проекта (дается 1 балл за каждый пункт)</w:t>
            </w:r>
          </w:p>
        </w:tc>
      </w:tr>
      <w:tr w:rsidR="003617F8" w:rsidRPr="003617F8" w:rsidTr="002B3D49">
        <w:trPr>
          <w:trHeight w:val="1007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Наличие ТЭО (технико-экономического обоснования), обоснования инвестиций, </w:t>
            </w:r>
            <w:proofErr w:type="spellStart"/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предпроектных</w:t>
            </w:r>
            <w:proofErr w:type="spellEnd"/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проработок, основных технических решений, укрупненных сметных расчетов, транспортной модели</w:t>
            </w:r>
          </w:p>
        </w:tc>
      </w:tr>
      <w:tr w:rsidR="003617F8" w:rsidRPr="003617F8" w:rsidTr="002B3D49">
        <w:trPr>
          <w:trHeight w:val="405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Наличие (при необходимости) заключения ТЦА</w:t>
            </w:r>
          </w:p>
        </w:tc>
      </w:tr>
      <w:tr w:rsidR="003617F8" w:rsidRPr="003617F8" w:rsidTr="002B3D49">
        <w:trPr>
          <w:trHeight w:val="407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Наличие проектной документации</w:t>
            </w:r>
          </w:p>
        </w:tc>
      </w:tr>
      <w:tr w:rsidR="003617F8" w:rsidRPr="003617F8" w:rsidTr="002B3D49">
        <w:trPr>
          <w:trHeight w:val="726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Наличие положительного заключения </w:t>
            </w:r>
            <w:proofErr w:type="spellStart"/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Главгосэкспертизы</w:t>
            </w:r>
            <w:proofErr w:type="spellEnd"/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(если </w:t>
            </w:r>
            <w:proofErr w:type="spellStart"/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релевантно</w:t>
            </w:r>
            <w:proofErr w:type="spellEnd"/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для проекта)</w:t>
            </w:r>
          </w:p>
        </w:tc>
      </w:tr>
      <w:tr w:rsidR="003617F8" w:rsidRPr="003617F8" w:rsidTr="002B3D49">
        <w:trPr>
          <w:trHeight w:val="355"/>
        </w:trPr>
        <w:tc>
          <w:tcPr>
            <w:tcW w:w="1012" w:type="dxa"/>
            <w:hideMark/>
          </w:tcPr>
          <w:p w:rsidR="003617F8" w:rsidRPr="003617F8" w:rsidRDefault="003617F8" w:rsidP="003617F8">
            <w:pPr>
              <w:spacing w:before="120" w:after="120"/>
              <w:ind w:left="-685" w:firstLine="851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9102" w:type="dxa"/>
            <w:hideMark/>
          </w:tcPr>
          <w:p w:rsidR="003617F8" w:rsidRPr="003617F8" w:rsidRDefault="003617F8" w:rsidP="003617F8">
            <w:pPr>
              <w:spacing w:before="120" w:after="120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17F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Проект реализуется (заключен контракт на выполнение работ)</w:t>
            </w:r>
          </w:p>
        </w:tc>
      </w:tr>
    </w:tbl>
    <w:p w:rsidR="003617F8" w:rsidRPr="003617F8" w:rsidRDefault="003617F8" w:rsidP="003617F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3617F8" w:rsidRPr="003617F8" w:rsidRDefault="003617F8" w:rsidP="003617F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617F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Распределение иных межбюджетных трансфертов осуществляется на объекты, имеющие наибольшее количество баллов, в порядке очередности в объеме, не более величины, заявленной субъектом Российской Федерации при формировании проекта федерального закона о федеральном бюджете на очередной финансовый год и на плановый период или при подготовке данных предложений. При равном количестве баллов – пропорционально заявкам субъектов Российской Федерации от оставшейся суммы иных межбюджетных трансфертов.</w:t>
      </w:r>
    </w:p>
    <w:p w:rsidR="003617F8" w:rsidRPr="003617F8" w:rsidRDefault="003617F8" w:rsidP="003617F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617F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Оставшиеся 10-20% объема предусмотренных федеральным законом о федеральном бюджете на очередной финансовый год и на плановый период иных межбюджетных трансфертов распределяются на основании предложений Минтранса России.</w:t>
      </w:r>
    </w:p>
    <w:p w:rsidR="003617F8" w:rsidRPr="003617F8" w:rsidRDefault="003617F8" w:rsidP="004D57F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3617F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 случае дополнительного поступления иных межбюджетных трансфертов в ходе исполнения федерального бюджета в соответствии с указанным порядком распределяется 70% дополнительно поступившего объема иных межбюджетных трансфертов.</w:t>
      </w:r>
    </w:p>
    <w:sectPr w:rsidR="003617F8" w:rsidRPr="003617F8" w:rsidSect="00607826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DFD" w:rsidRDefault="00BB2DFD" w:rsidP="00607826">
      <w:pPr>
        <w:spacing w:after="0" w:line="240" w:lineRule="auto"/>
      </w:pPr>
      <w:r>
        <w:separator/>
      </w:r>
    </w:p>
  </w:endnote>
  <w:endnote w:type="continuationSeparator" w:id="0">
    <w:p w:rsidR="00BB2DFD" w:rsidRDefault="00BB2DFD" w:rsidP="0060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DFD" w:rsidRDefault="00BB2DFD" w:rsidP="00607826">
      <w:pPr>
        <w:spacing w:after="0" w:line="240" w:lineRule="auto"/>
      </w:pPr>
      <w:r>
        <w:separator/>
      </w:r>
    </w:p>
  </w:footnote>
  <w:footnote w:type="continuationSeparator" w:id="0">
    <w:p w:rsidR="00BB2DFD" w:rsidRDefault="00BB2DFD" w:rsidP="0060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034047"/>
      <w:docPartObj>
        <w:docPartGallery w:val="Page Numbers (Top of Page)"/>
        <w:docPartUnique/>
      </w:docPartObj>
    </w:sdtPr>
    <w:sdtEndPr/>
    <w:sdtContent>
      <w:p w:rsidR="00607826" w:rsidRDefault="006078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B6E">
          <w:rPr>
            <w:noProof/>
          </w:rPr>
          <w:t>2</w:t>
        </w:r>
        <w:r>
          <w:fldChar w:fldCharType="end"/>
        </w:r>
      </w:p>
    </w:sdtContent>
  </w:sdt>
  <w:p w:rsidR="00607826" w:rsidRDefault="006078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CB"/>
    <w:rsid w:val="00085E38"/>
    <w:rsid w:val="001520F9"/>
    <w:rsid w:val="001C1F03"/>
    <w:rsid w:val="00275133"/>
    <w:rsid w:val="003617F8"/>
    <w:rsid w:val="0036788A"/>
    <w:rsid w:val="003C656F"/>
    <w:rsid w:val="00473B6E"/>
    <w:rsid w:val="004D57F3"/>
    <w:rsid w:val="00607826"/>
    <w:rsid w:val="006F715A"/>
    <w:rsid w:val="008F0F0F"/>
    <w:rsid w:val="00987FCB"/>
    <w:rsid w:val="009C0008"/>
    <w:rsid w:val="00A30F8E"/>
    <w:rsid w:val="00B6020C"/>
    <w:rsid w:val="00B81478"/>
    <w:rsid w:val="00BB2DFD"/>
    <w:rsid w:val="00CC16FD"/>
    <w:rsid w:val="00CD082A"/>
    <w:rsid w:val="00D536B2"/>
    <w:rsid w:val="00E65D8C"/>
    <w:rsid w:val="00EA5BA3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59AD1-A719-4DE9-B3BF-AC1466C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7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826"/>
  </w:style>
  <w:style w:type="paragraph" w:styleId="a6">
    <w:name w:val="footer"/>
    <w:basedOn w:val="a"/>
    <w:link w:val="a7"/>
    <w:uiPriority w:val="99"/>
    <w:unhideWhenUsed/>
    <w:rsid w:val="00607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826"/>
  </w:style>
  <w:style w:type="paragraph" w:styleId="a8">
    <w:name w:val="Balloon Text"/>
    <w:basedOn w:val="a"/>
    <w:link w:val="a9"/>
    <w:uiPriority w:val="99"/>
    <w:semiHidden/>
    <w:unhideWhenUsed/>
    <w:rsid w:val="003C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6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Квитко Валентина Викторовна</dc:creator>
  <cp:keywords/>
  <dc:description/>
  <cp:lastModifiedBy>Квитко Валентина Викторовна</cp:lastModifiedBy>
  <cp:revision>4</cp:revision>
  <cp:lastPrinted>2019-09-06T11:09:00Z</cp:lastPrinted>
  <dcterms:created xsi:type="dcterms:W3CDTF">2019-10-18T12:53:00Z</dcterms:created>
  <dcterms:modified xsi:type="dcterms:W3CDTF">2019-10-18T12:54:00Z</dcterms:modified>
</cp:coreProperties>
</file>