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spacing w:after="0" w:before="200"/>
              <w:ind/>
              <w:rPr>
                <w:spacing w:val="80"/>
              </w:rPr>
            </w:pPr>
          </w:p>
        </w:tc>
        <w:tc>
          <w:tcPr>
            <w:tcW w:type="dxa" w:w="347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spacing w:after="0"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before="200"/>
              <w:ind/>
              <w:rPr>
                <w:sz w:val="28"/>
              </w:rPr>
            </w:pPr>
          </w:p>
        </w:tc>
      </w:tr>
    </w:tbl>
    <w:p w14:paraId="07000000">
      <w:pPr>
        <w:ind/>
        <w:jc w:val="center"/>
      </w:pPr>
    </w:p>
    <w:p w14:paraId="08000000">
      <w:pPr>
        <w:ind/>
        <w:jc w:val="center"/>
      </w:pPr>
      <w:r>
        <w:rPr>
          <w:b w:val="1"/>
          <w:sz w:val="28"/>
        </w:rPr>
        <w:t>О признании не подлежащими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актов Министерства путей сообщения СССР и </w:t>
      </w:r>
    </w:p>
    <w:p w14:paraId="09000000">
      <w:pPr>
        <w:ind/>
        <w:jc w:val="center"/>
      </w:pPr>
      <w:r>
        <w:rPr>
          <w:b w:val="1"/>
          <w:sz w:val="28"/>
        </w:rPr>
        <w:t>Министерства путей сообщения Российской Федерации</w:t>
      </w:r>
    </w:p>
    <w:p w14:paraId="0A000000">
      <w:pPr>
        <w:ind/>
        <w:jc w:val="center"/>
        <w:rPr>
          <w:b w:val="1"/>
          <w:sz w:val="28"/>
        </w:rPr>
      </w:pPr>
    </w:p>
    <w:p w14:paraId="0B000000">
      <w:pPr>
        <w:pStyle w:val="Style_3"/>
        <w:numPr>
          <w:ilvl w:val="0"/>
          <w:numId w:val="0"/>
        </w:numPr>
        <w:ind w:firstLine="540" w:left="0" w:right="0"/>
        <w:jc w:val="both"/>
        <w:rPr>
          <w:rFonts w:ascii="Times New Roman" w:hAnsi="Times New Roman"/>
          <w:b w:val="1"/>
          <w:sz w:val="28"/>
        </w:rPr>
      </w:pPr>
    </w:p>
    <w:p w14:paraId="0C000000">
      <w:pPr>
        <w:pStyle w:val="Style_3"/>
        <w:numPr>
          <w:ilvl w:val="0"/>
          <w:numId w:val="0"/>
        </w:numPr>
        <w:ind w:firstLine="709" w:left="0" w:right="0"/>
        <w:jc w:val="both"/>
      </w:pPr>
      <w:r>
        <w:rPr>
          <w:rFonts w:ascii="Times New Roman" w:hAnsi="Times New Roman"/>
          <w:sz w:val="28"/>
        </w:rPr>
        <w:t xml:space="preserve">В целях исключения применения нормативных актов Министерства путей сообщения СССР и Министерства путей сообщения Российской Федерации </w:t>
      </w:r>
      <w:r>
        <w:br/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D000000">
      <w:pPr>
        <w:pStyle w:val="Style_3"/>
        <w:numPr>
          <w:ilvl w:val="0"/>
          <w:numId w:val="0"/>
        </w:numPr>
        <w:ind w:firstLine="709" w:left="0" w:right="0"/>
        <w:jc w:val="both"/>
        <w:rPr>
          <w:rFonts w:ascii="Times New Roman" w:hAnsi="Times New Roman"/>
          <w:sz w:val="28"/>
        </w:rPr>
      </w:pPr>
    </w:p>
    <w:p w14:paraId="0E000000">
      <w:pPr>
        <w:pStyle w:val="Style_3"/>
        <w:numPr>
          <w:ilvl w:val="0"/>
          <w:numId w:val="0"/>
        </w:numPr>
        <w:ind w:firstLine="540" w:left="0" w:right="0"/>
        <w:jc w:val="both"/>
        <w:rPr>
          <w:rFonts w:ascii="Times New Roman" w:hAnsi="Times New Roman"/>
          <w:sz w:val="28"/>
        </w:rPr>
      </w:pPr>
    </w:p>
    <w:p w14:paraId="0F000000">
      <w:pPr>
        <w:pStyle w:val="Style_3"/>
        <w:numPr>
          <w:ilvl w:val="0"/>
          <w:numId w:val="0"/>
        </w:numPr>
        <w:ind w:firstLine="709" w:left="0" w:right="0"/>
        <w:jc w:val="both"/>
      </w:pPr>
      <w:r>
        <w:rPr>
          <w:rFonts w:ascii="Times New Roman" w:hAnsi="Times New Roman"/>
          <w:sz w:val="28"/>
        </w:rPr>
        <w:t xml:space="preserve">1. Признать не подлежащими применению на территории Российской Федерации акты Министерства путей сообщения СССР (приложение № 1 </w:t>
      </w:r>
      <w:r>
        <w:br/>
      </w:r>
      <w:r>
        <w:rPr>
          <w:rFonts w:ascii="Times New Roman" w:hAnsi="Times New Roman"/>
          <w:sz w:val="28"/>
        </w:rPr>
        <w:t>к настоящему приказу).</w:t>
      </w:r>
    </w:p>
    <w:p w14:paraId="10000000">
      <w:pPr>
        <w:pStyle w:val="Style_3"/>
        <w:numPr>
          <w:ilvl w:val="0"/>
          <w:numId w:val="0"/>
        </w:numPr>
        <w:ind w:firstLine="709" w:left="0" w:right="0"/>
        <w:jc w:val="both"/>
      </w:pPr>
      <w:r>
        <w:rPr>
          <w:rFonts w:ascii="Times New Roman" w:hAnsi="Times New Roman"/>
          <w:sz w:val="28"/>
        </w:rPr>
        <w:t>2. Признать не подлежащими применению акты Министерства путей сообщения Российской Федерации (приложение № 2 к настоящему приказу).</w:t>
      </w:r>
    </w:p>
    <w:p w14:paraId="11000000">
      <w:pPr>
        <w:ind w:firstLine="0" w:left="0" w:right="8"/>
        <w:jc w:val="both"/>
        <w:rPr>
          <w:sz w:val="28"/>
        </w:rPr>
      </w:pPr>
    </w:p>
    <w:p w14:paraId="12000000">
      <w:pPr>
        <w:ind w:firstLine="0" w:left="0" w:right="8"/>
        <w:jc w:val="both"/>
        <w:rPr>
          <w:sz w:val="28"/>
        </w:rPr>
      </w:pPr>
    </w:p>
    <w:p w14:paraId="13000000">
      <w:pPr>
        <w:ind w:firstLine="0" w:left="0" w:right="8"/>
        <w:jc w:val="both"/>
        <w:rPr>
          <w:sz w:val="28"/>
        </w:rPr>
      </w:pPr>
    </w:p>
    <w:p w14:paraId="14000000">
      <w:pPr>
        <w:ind w:firstLine="0" w:left="0" w:right="-60"/>
        <w:jc w:val="both"/>
      </w:pPr>
      <w:r>
        <w:rPr>
          <w:sz w:val="28"/>
        </w:rPr>
        <w:t>И.о. Министра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И.С. </w:t>
      </w:r>
      <w:r>
        <w:rPr>
          <w:sz w:val="28"/>
        </w:rPr>
        <w:t>Алафинов</w:t>
      </w:r>
    </w:p>
    <w:p w14:paraId="15000000">
      <w:pPr>
        <w:ind w:firstLine="0" w:left="0" w:right="-232"/>
        <w:jc w:val="both"/>
        <w:rPr>
          <w:sz w:val="28"/>
        </w:rPr>
      </w:pPr>
    </w:p>
    <w:p w14:paraId="16000000">
      <w:pPr>
        <w:ind w:firstLine="0" w:left="0" w:right="-232"/>
        <w:jc w:val="both"/>
        <w:rPr>
          <w:sz w:val="28"/>
        </w:rPr>
      </w:pPr>
    </w:p>
    <w:p w14:paraId="17000000">
      <w:pPr>
        <w:ind w:firstLine="0" w:left="0" w:right="-232"/>
        <w:jc w:val="both"/>
        <w:rPr>
          <w:sz w:val="28"/>
        </w:rPr>
      </w:pPr>
    </w:p>
    <w:p w14:paraId="18000000">
      <w:pPr>
        <w:ind w:firstLine="0" w:left="0" w:right="-232"/>
        <w:jc w:val="both"/>
        <w:rPr>
          <w:sz w:val="28"/>
        </w:rPr>
      </w:pPr>
    </w:p>
    <w:p w14:paraId="19000000">
      <w:pPr>
        <w:ind w:firstLine="0" w:left="0" w:right="-232"/>
        <w:jc w:val="both"/>
        <w:rPr>
          <w:sz w:val="28"/>
        </w:rPr>
      </w:pPr>
    </w:p>
    <w:p w14:paraId="1A000000">
      <w:pPr>
        <w:ind w:firstLine="0" w:left="0" w:right="-232"/>
        <w:jc w:val="both"/>
        <w:rPr>
          <w:sz w:val="28"/>
        </w:rPr>
      </w:pPr>
    </w:p>
    <w:p w14:paraId="1B000000">
      <w:pPr>
        <w:ind w:firstLine="0" w:left="0" w:right="-232"/>
        <w:jc w:val="both"/>
        <w:rPr>
          <w:sz w:val="28"/>
        </w:rPr>
      </w:pPr>
    </w:p>
    <w:p w14:paraId="1C000000">
      <w:pPr>
        <w:ind w:firstLine="0" w:left="0" w:right="-232"/>
        <w:jc w:val="both"/>
        <w:rPr>
          <w:sz w:val="28"/>
        </w:rPr>
      </w:pPr>
    </w:p>
    <w:p w14:paraId="1D000000">
      <w:pPr>
        <w:ind w:firstLine="0" w:left="0" w:right="-232"/>
        <w:jc w:val="both"/>
        <w:rPr>
          <w:sz w:val="28"/>
        </w:rPr>
      </w:pPr>
    </w:p>
    <w:p w14:paraId="1E000000">
      <w:pPr>
        <w:ind w:firstLine="0" w:left="0" w:right="-232"/>
        <w:jc w:val="both"/>
        <w:rPr>
          <w:sz w:val="28"/>
        </w:rPr>
      </w:pPr>
    </w:p>
    <w:p w14:paraId="1F000000">
      <w:pPr>
        <w:ind/>
        <w:jc w:val="both"/>
        <w:rPr>
          <w:sz w:val="20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spacing w:after="0" w:before="0" w:line="240" w:lineRule="auto"/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25000000">
      <w:pPr>
        <w:spacing w:before="0" w:line="240" w:lineRule="auto"/>
        <w:ind/>
        <w:jc w:val="both"/>
        <w:rPr>
          <w:sz w:val="20"/>
        </w:rPr>
      </w:pPr>
      <w:r>
        <w:rPr>
          <w:sz w:val="20"/>
        </w:rPr>
        <w:t>8 (499) 495 00 0</w:t>
      </w:r>
      <w:r>
        <w:rPr>
          <w:sz w:val="20"/>
        </w:rPr>
        <w:t>0 (доб. 16-03)</w:t>
      </w:r>
    </w:p>
    <w:sectPr>
      <w:pgSz w:h="16848" w:w="11908"/>
      <w:pgMar w:bottom="652" w:footer="708" w:header="708" w:left="1134" w:right="567" w:top="975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0">
    <w:lvl w:ilvl="0">
      <w:start w:val="1"/>
      <w:numFmt w:val="decimal"/>
      <w:pPr>
        <w:tabs>
          <w:tab w:leader="none" w:pos="0" w:val="left"/>
        </w:tabs>
        <w:ind w:firstLine="0" w:left="0"/>
      </w:pPr>
    </w:lvl>
    <w:lvl w:ilvl="1">
      <w:start w:val="1"/>
      <w:numFmt w:val="decimal"/>
      <w:pPr>
        <w:tabs>
          <w:tab w:leader="none" w:pos="0" w:val="left"/>
        </w:tabs>
        <w:ind w:firstLine="0" w:left="0"/>
      </w:pPr>
    </w:lvl>
    <w:lvl w:ilvl="2">
      <w:start w:val="1"/>
      <w:numFmt w:val="decimal"/>
      <w:pPr>
        <w:tabs>
          <w:tab w:leader="none" w:pos="0" w:val="left"/>
        </w:tabs>
        <w:ind w:firstLine="0" w:left="0"/>
      </w:pPr>
    </w:lvl>
    <w:lvl w:ilvl="3">
      <w:start w:val="1"/>
      <w:numFmt w:val="decimal"/>
      <w:pPr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"/>
      <w:pPr>
        <w:tabs>
          <w:tab w:leader="none" w:pos="0" w:val="left"/>
        </w:tabs>
        <w:ind w:firstLine="0" w:left="0"/>
      </w:pPr>
    </w:lvl>
    <w:lvl w:ilvl="5">
      <w:start w:val="1"/>
      <w:numFmt w:val="decimal"/>
      <w:pPr>
        <w:tabs>
          <w:tab w:leader="none" w:pos="0" w:val="left"/>
        </w:tabs>
        <w:ind w:firstLine="0" w:left="0"/>
      </w:pPr>
    </w:lvl>
    <w:lvl w:ilvl="6">
      <w:start w:val="1"/>
      <w:numFmt w:val="decimal"/>
      <w:pPr>
        <w:tabs>
          <w:tab w:leader="none" w:pos="0" w:val="left"/>
        </w:tabs>
        <w:ind w:firstLine="0" w:left="0"/>
      </w:pPr>
    </w:lvl>
    <w:lvl w:ilvl="7">
      <w:start w:val="1"/>
      <w:numFmt w:val="decimal"/>
      <w:pPr>
        <w:tabs>
          <w:tab w:leader="none" w:pos="0" w:val="left"/>
        </w:tabs>
        <w:ind w:firstLine="0" w:left="0"/>
      </w:pPr>
    </w:lvl>
    <w:lvl w:ilvl="8">
      <w:start w:val="1"/>
      <w:numFmt w:val="decimal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4"/>
    </w:rPr>
  </w:style>
  <w:style w:styleId="Style_3" w:type="paragraph">
    <w:name w:val="ConsPlusNormal"/>
    <w:link w:val="Style_3_ch"/>
    <w:pPr>
      <w:widowControl w:val="1"/>
      <w:ind w:firstLine="720" w:left="0" w:right="0"/>
    </w:pPr>
    <w:rPr>
      <w:rFonts w:ascii="Arial" w:hAnsi="Arial"/>
      <w:color w:val="000000"/>
      <w:sz w:val="20"/>
    </w:rPr>
  </w:style>
  <w:style w:styleId="Style_3_ch" w:type="character">
    <w:name w:val="ConsPlusNormal"/>
    <w:link w:val="Style_3"/>
    <w:rPr>
      <w:rFonts w:ascii="Arial" w:hAnsi="Arial"/>
      <w:color w:val="000000"/>
      <w:sz w:val="20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Основной шрифт абзаца"/>
    <w:link w:val="Style_11_ch"/>
  </w:style>
  <w:style w:styleId="Style_11_ch" w:type="character">
    <w:name w:val="Основной шрифт абзаца"/>
    <w:link w:val="Style_11"/>
  </w:style>
  <w:style w:styleId="Style_12" w:type="paragraph">
    <w:name w:val="List"/>
    <w:basedOn w:val="Style_13"/>
    <w:link w:val="Style_12_ch"/>
  </w:style>
  <w:style w:styleId="Style_12_ch" w:type="character">
    <w:name w:val="List"/>
    <w:basedOn w:val="Style_13_ch"/>
    <w:link w:val="Style_12"/>
  </w:style>
  <w:style w:styleId="Style_14" w:type="paragraph">
    <w:name w:val="toc 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Указатель"/>
    <w:basedOn w:val="Style_4"/>
    <w:link w:val="Style_15_ch"/>
  </w:style>
  <w:style w:styleId="Style_15_ch" w:type="character">
    <w:name w:val="Указатель"/>
    <w:basedOn w:val="Style_4_ch"/>
    <w:link w:val="Style_15"/>
  </w:style>
  <w:style w:styleId="Style_16" w:type="paragraph">
    <w:name w:val="caption"/>
    <w:basedOn w:val="Style_4"/>
    <w:link w:val="Style_16_ch"/>
    <w:pPr>
      <w:spacing w:after="120" w:before="120"/>
      <w:ind/>
    </w:pPr>
    <w:rPr>
      <w:i w:val="1"/>
      <w:sz w:val="24"/>
    </w:rPr>
  </w:style>
  <w:style w:styleId="Style_16_ch" w:type="character">
    <w:name w:val="caption"/>
    <w:basedOn w:val="Style_4_ch"/>
    <w:link w:val="Style_16"/>
    <w:rPr>
      <w:i w:val="1"/>
      <w:sz w:val="24"/>
    </w:rPr>
  </w:style>
  <w:style w:styleId="Style_17" w:type="paragraph">
    <w:name w:val="page number"/>
    <w:basedOn w:val="Style_11"/>
    <w:link w:val="Style_17_ch"/>
  </w:style>
  <w:style w:styleId="Style_17_ch" w:type="character">
    <w:name w:val="page number"/>
    <w:basedOn w:val="Style_11_ch"/>
    <w:link w:val="Style_17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numPr>
        <w:ilvl w:val="4"/>
        <w:numId w:val="1"/>
      </w:numPr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8" w:type="paragraph">
    <w:name w:val="heading 1"/>
    <w:link w:val="Style_18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Текст выноски Знак"/>
    <w:link w:val="Style_19_ch"/>
    <w:rPr>
      <w:rFonts w:ascii="Segoe UI" w:hAnsi="Segoe UI"/>
      <w:sz w:val="18"/>
    </w:rPr>
  </w:style>
  <w:style w:styleId="Style_19_ch" w:type="character">
    <w:name w:val="Текст выноски Знак"/>
    <w:link w:val="Style_19"/>
    <w:rPr>
      <w:rFonts w:ascii="Segoe UI" w:hAnsi="Segoe UI"/>
      <w:sz w:val="1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rPr>
      <w:rFonts w:ascii="XO Thames" w:hAnsi="XO Thames"/>
      <w:color w:val="757575"/>
      <w:sz w:val="20"/>
    </w:rPr>
  </w:style>
  <w:style w:styleId="Style_21_ch" w:type="character">
    <w:name w:val="Footnote"/>
    <w:link w:val="Style_21"/>
    <w:rPr>
      <w:rFonts w:ascii="XO Thames" w:hAnsi="XO Thames"/>
      <w:color w:val="757575"/>
      <w:sz w:val="20"/>
    </w:rPr>
  </w:style>
  <w:style w:styleId="Style_22" w:type="paragraph">
    <w:name w:val="Заголовок"/>
    <w:basedOn w:val="Style_4"/>
    <w:next w:val="Style_13"/>
    <w:link w:val="Style_22_ch"/>
    <w:pPr>
      <w:keepNext w:val="1"/>
      <w:spacing w:after="120" w:before="240"/>
      <w:ind/>
    </w:pPr>
    <w:rPr>
      <w:rFonts w:ascii="Arial" w:hAnsi="Arial"/>
      <w:sz w:val="28"/>
    </w:rPr>
  </w:style>
  <w:style w:styleId="Style_22_ch" w:type="character">
    <w:name w:val="Заголовок"/>
    <w:basedOn w:val="Style_4_ch"/>
    <w:link w:val="Style_22"/>
    <w:rPr>
      <w:rFonts w:ascii="Arial" w:hAnsi="Arial"/>
      <w:sz w:val="28"/>
    </w:rPr>
  </w:style>
  <w:style w:styleId="Style_23" w:type="paragraph">
    <w:name w:val="header"/>
    <w:basedOn w:val="Style_4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4_ch"/>
    <w:link w:val="Style_23"/>
  </w:style>
  <w:style w:styleId="Style_24" w:type="paragraph">
    <w:name w:val="toc 1"/>
    <w:link w:val="Style_24_ch"/>
    <w:uiPriority w:val="39"/>
    <w:pPr>
      <w:ind w:firstLine="0" w:left="0"/>
    </w:pPr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5" w:type="paragraph">
    <w:name w:val="Header and Footer"/>
    <w:link w:val="Style_25_ch"/>
    <w:pPr>
      <w:spacing w:line="360" w:lineRule="auto"/>
      <w:ind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Текст выноски"/>
    <w:basedOn w:val="Style_4"/>
    <w:link w:val="Style_26_ch"/>
    <w:rPr>
      <w:rFonts w:ascii="Segoe UI" w:hAnsi="Segoe UI"/>
      <w:sz w:val="18"/>
    </w:rPr>
  </w:style>
  <w:style w:styleId="Style_26_ch" w:type="character">
    <w:name w:val="Текст выноски"/>
    <w:basedOn w:val="Style_4_ch"/>
    <w:link w:val="Style_26"/>
    <w:rPr>
      <w:rFonts w:ascii="Segoe UI" w:hAnsi="Segoe UI"/>
      <w:sz w:val="18"/>
    </w:rPr>
  </w:style>
  <w:style w:styleId="Style_13" w:type="paragraph">
    <w:name w:val="Body Text"/>
    <w:basedOn w:val="Style_4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4_ch"/>
    <w:link w:val="Style_13"/>
  </w:style>
  <w:style w:styleId="Style_27" w:type="paragraph">
    <w:name w:val="toc 9"/>
    <w:link w:val="Style_27_ch"/>
    <w:uiPriority w:val="39"/>
    <w:pPr>
      <w:ind w:firstLine="0" w:left="1600"/>
    </w:pPr>
  </w:style>
  <w:style w:styleId="Style_27_ch" w:type="character">
    <w:name w:val="toc 9"/>
    <w:link w:val="Style_27"/>
  </w:style>
  <w:style w:styleId="Style_28" w:type="paragraph">
    <w:name w:val="Содержимое таблицы"/>
    <w:basedOn w:val="Style_4"/>
    <w:link w:val="Style_28_ch"/>
  </w:style>
  <w:style w:styleId="Style_28_ch" w:type="character">
    <w:name w:val="Содержимое таблицы"/>
    <w:basedOn w:val="Style_4_ch"/>
    <w:link w:val="Style_28"/>
  </w:style>
  <w:style w:styleId="Style_29" w:type="paragraph">
    <w:name w:val="toc 8"/>
    <w:link w:val="Style_29_ch"/>
    <w:uiPriority w:val="39"/>
    <w:pPr>
      <w:ind w:firstLine="0" w:left="1400"/>
    </w:pPr>
  </w:style>
  <w:style w:styleId="Style_29_ch" w:type="character">
    <w:name w:val="toc 8"/>
    <w:link w:val="Style_29"/>
  </w:style>
  <w:style w:styleId="Style_30" w:type="paragraph">
    <w:name w:val="toc 5"/>
    <w:link w:val="Style_30_ch"/>
    <w:uiPriority w:val="39"/>
    <w:pPr>
      <w:ind w:firstLine="0" w:left="800"/>
    </w:pPr>
  </w:style>
  <w:style w:styleId="Style_30_ch" w:type="character">
    <w:name w:val="toc 5"/>
    <w:link w:val="Style_30"/>
  </w:style>
  <w:style w:styleId="Style_31" w:type="paragraph">
    <w:name w:val="Subtitle"/>
    <w:link w:val="Style_31_ch"/>
    <w:uiPriority w:val="11"/>
    <w:qFormat/>
    <w:rPr>
      <w:rFonts w:ascii="XO Thames" w:hAnsi="XO Thames"/>
      <w:i w:val="1"/>
      <w:color w:val="616161"/>
      <w:sz w:val="24"/>
    </w:rPr>
  </w:style>
  <w:style w:styleId="Style_31_ch" w:type="character">
    <w:name w:val="Subtitle"/>
    <w:link w:val="Style_31"/>
    <w:rPr>
      <w:rFonts w:ascii="XO Thames" w:hAnsi="XO Thames"/>
      <w:i w:val="1"/>
      <w:color w:val="616161"/>
      <w:sz w:val="24"/>
    </w:rPr>
  </w:style>
  <w:style w:styleId="Style_32" w:type="paragraph">
    <w:name w:val="toc 10"/>
    <w:link w:val="Style_32_ch"/>
    <w:uiPriority w:val="39"/>
    <w:pPr>
      <w:ind w:firstLine="0" w:left="1800"/>
    </w:pPr>
  </w:style>
  <w:style w:styleId="Style_32_ch" w:type="character">
    <w:name w:val="toc 10"/>
    <w:link w:val="Style_32"/>
  </w:style>
  <w:style w:styleId="Style_33" w:type="paragraph">
    <w:name w:val="Title"/>
    <w:link w:val="Style_33_ch"/>
    <w:uiPriority w:val="10"/>
    <w:qFormat/>
    <w:rPr>
      <w:rFonts w:ascii="XO Thames" w:hAnsi="XO Thames"/>
      <w:b w:val="1"/>
      <w:sz w:val="52"/>
    </w:rPr>
  </w:style>
  <w:style w:styleId="Style_33_ch" w:type="character">
    <w:name w:val="Title"/>
    <w:link w:val="Style_33"/>
    <w:rPr>
      <w:rFonts w:ascii="XO Thames" w:hAnsi="XO Thames"/>
      <w:b w:val="1"/>
      <w:sz w:val="52"/>
    </w:rPr>
  </w:style>
  <w:style w:styleId="Style_34" w:type="paragraph">
    <w:name w:val="heading 4"/>
    <w:link w:val="Style_3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4_ch" w:type="character">
    <w:name w:val="heading 4"/>
    <w:link w:val="Style_34"/>
    <w:rPr>
      <w:rFonts w:ascii="XO Thames" w:hAnsi="XO Thames"/>
      <w:b w:val="1"/>
      <w:color w:val="595959"/>
      <w:sz w:val="26"/>
    </w:rPr>
  </w:style>
  <w:style w:styleId="Style_35" w:type="paragraph">
    <w:name w:val="heading 2"/>
    <w:link w:val="Style_3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5_ch" w:type="character">
    <w:name w:val="heading 2"/>
    <w:link w:val="Style_35"/>
    <w:rPr>
      <w:rFonts w:ascii="XO Thames" w:hAnsi="XO Thames"/>
      <w:b w:val="1"/>
      <w:color w:val="00A0FF"/>
      <w:sz w:val="26"/>
    </w:rPr>
  </w:style>
  <w:style w:styleId="Style_36" w:type="paragraph">
    <w:name w:val="Заголовок таблицы"/>
    <w:basedOn w:val="Style_28"/>
    <w:link w:val="Style_36_ch"/>
    <w:pPr>
      <w:ind/>
      <w:jc w:val="center"/>
    </w:pPr>
    <w:rPr>
      <w:b w:val="1"/>
    </w:rPr>
  </w:style>
  <w:style w:styleId="Style_36_ch" w:type="character">
    <w:name w:val="Заголовок таблицы"/>
    <w:basedOn w:val="Style_28_ch"/>
    <w:link w:val="Style_36"/>
    <w:rPr>
      <w:b w:val="1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