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200"/>
              <w:ind/>
              <w:rPr>
                <w:spacing w:val="80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200"/>
              <w:ind/>
              <w:rPr>
                <w:sz w:val="28"/>
              </w:rPr>
            </w:pPr>
          </w:p>
        </w:tc>
      </w:tr>
    </w:tbl>
    <w:p w14:paraId="07000000">
      <w:pPr>
        <w:ind/>
        <w:jc w:val="center"/>
      </w:pPr>
    </w:p>
    <w:p w14:paraId="08000000">
      <w:pPr>
        <w:ind/>
        <w:jc w:val="center"/>
      </w:pPr>
      <w:r>
        <w:rPr>
          <w:b w:val="1"/>
          <w:sz w:val="28"/>
        </w:rPr>
        <w:t>О признании не подлежащими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актов Министерства путей сообщения СССР и </w:t>
      </w:r>
    </w:p>
    <w:p w14:paraId="09000000">
      <w:pPr>
        <w:ind/>
        <w:jc w:val="center"/>
      </w:pPr>
      <w:r>
        <w:rPr>
          <w:b w:val="1"/>
          <w:sz w:val="28"/>
        </w:rPr>
        <w:t>Министерства путей сообщения Российской Федерации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pStyle w:val="Style_3"/>
        <w:numPr>
          <w:ilvl w:val="0"/>
          <w:numId w:val="0"/>
        </w:numPr>
        <w:ind w:firstLine="540" w:left="0" w:right="0"/>
        <w:jc w:val="both"/>
        <w:rPr>
          <w:rFonts w:ascii="Times New Roman" w:hAnsi="Times New Roman"/>
          <w:b w:val="1"/>
          <w:sz w:val="28"/>
        </w:rPr>
      </w:pPr>
    </w:p>
    <w:p w14:paraId="0C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В целях исключения применения нормативных актов Министерства путей сообщения СССР и Министерства путей сообщения Российской Федерации </w:t>
      </w:r>
      <w:r>
        <w:br/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D000000">
      <w:pPr>
        <w:pStyle w:val="Style_3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numPr>
          <w:ilvl w:val="0"/>
          <w:numId w:val="0"/>
        </w:numPr>
        <w:ind w:firstLine="540" w:left="0" w:right="0"/>
        <w:jc w:val="both"/>
        <w:rPr>
          <w:rFonts w:ascii="Times New Roman" w:hAnsi="Times New Roman"/>
          <w:sz w:val="28"/>
        </w:rPr>
      </w:pPr>
    </w:p>
    <w:p w14:paraId="0F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1. Признать не подлежащими применению на территории Российской Федерации акты Министерства путей сообщения СССР (приложение № 1 </w:t>
      </w:r>
      <w:r>
        <w:br/>
      </w:r>
      <w:r>
        <w:rPr>
          <w:rFonts w:ascii="Times New Roman" w:hAnsi="Times New Roman"/>
          <w:sz w:val="28"/>
        </w:rPr>
        <w:t>к настоящему приказу).</w:t>
      </w:r>
    </w:p>
    <w:p w14:paraId="10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>2. Признать не подлежащими применению акты Министерства путей сообщения Российской Федерации (приложение № 2 к настоящему приказу).</w:t>
      </w:r>
    </w:p>
    <w:p w14:paraId="11000000">
      <w:pPr>
        <w:ind w:firstLine="0" w:left="0" w:right="8"/>
        <w:jc w:val="both"/>
        <w:rPr>
          <w:sz w:val="28"/>
        </w:rPr>
      </w:pPr>
    </w:p>
    <w:p w14:paraId="12000000">
      <w:pPr>
        <w:ind w:firstLine="0" w:left="0" w:right="8"/>
        <w:jc w:val="both"/>
        <w:rPr>
          <w:sz w:val="28"/>
        </w:rPr>
      </w:pPr>
    </w:p>
    <w:p w14:paraId="13000000">
      <w:pPr>
        <w:ind w:firstLine="0" w:left="0" w:right="8"/>
        <w:jc w:val="both"/>
        <w:rPr>
          <w:sz w:val="28"/>
        </w:rPr>
      </w:pPr>
    </w:p>
    <w:p w14:paraId="14000000">
      <w:pPr>
        <w:ind w:firstLine="0" w:left="0" w:right="-60"/>
        <w:jc w:val="both"/>
      </w:pPr>
      <w:r>
        <w:rPr>
          <w:sz w:val="28"/>
        </w:rPr>
        <w:t>И.о. Министра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И.С. </w:t>
      </w:r>
      <w:r>
        <w:rPr>
          <w:sz w:val="28"/>
        </w:rPr>
        <w:t>Алафинов</w:t>
      </w:r>
    </w:p>
    <w:p w14:paraId="15000000">
      <w:pPr>
        <w:ind w:firstLine="0" w:left="0" w:right="-232"/>
        <w:jc w:val="both"/>
        <w:rPr>
          <w:sz w:val="28"/>
        </w:rPr>
      </w:pPr>
    </w:p>
    <w:p w14:paraId="16000000">
      <w:pPr>
        <w:ind w:firstLine="0" w:left="0" w:right="-232"/>
        <w:jc w:val="both"/>
        <w:rPr>
          <w:sz w:val="28"/>
        </w:rPr>
      </w:pPr>
    </w:p>
    <w:p w14:paraId="17000000">
      <w:pPr>
        <w:ind w:firstLine="0" w:left="0" w:right="-232"/>
        <w:jc w:val="both"/>
        <w:rPr>
          <w:sz w:val="28"/>
        </w:rPr>
      </w:pPr>
    </w:p>
    <w:p w14:paraId="18000000">
      <w:pPr>
        <w:ind w:firstLine="0" w:left="0" w:right="-232"/>
        <w:jc w:val="both"/>
        <w:rPr>
          <w:sz w:val="28"/>
        </w:rPr>
      </w:pPr>
    </w:p>
    <w:p w14:paraId="19000000">
      <w:pPr>
        <w:ind w:firstLine="0" w:left="0" w:right="-232"/>
        <w:jc w:val="both"/>
        <w:rPr>
          <w:sz w:val="28"/>
        </w:rPr>
      </w:pPr>
    </w:p>
    <w:p w14:paraId="1A000000">
      <w:pPr>
        <w:ind w:firstLine="0" w:left="0" w:right="-232"/>
        <w:jc w:val="both"/>
        <w:rPr>
          <w:sz w:val="28"/>
        </w:rPr>
      </w:pPr>
    </w:p>
    <w:p w14:paraId="1B000000">
      <w:pPr>
        <w:ind w:firstLine="0" w:left="0" w:right="-232"/>
        <w:jc w:val="both"/>
        <w:rPr>
          <w:sz w:val="28"/>
        </w:rPr>
      </w:pPr>
    </w:p>
    <w:p w14:paraId="1C000000">
      <w:pPr>
        <w:ind w:firstLine="0" w:left="0" w:right="-232"/>
        <w:jc w:val="both"/>
        <w:rPr>
          <w:sz w:val="28"/>
        </w:rPr>
      </w:pPr>
    </w:p>
    <w:p w14:paraId="1D000000">
      <w:pPr>
        <w:ind w:firstLine="0" w:left="0" w:right="-232"/>
        <w:jc w:val="both"/>
        <w:rPr>
          <w:sz w:val="28"/>
        </w:rPr>
      </w:pPr>
    </w:p>
    <w:p w14:paraId="1E000000">
      <w:pPr>
        <w:ind w:firstLine="0" w:left="0" w:right="-232"/>
        <w:jc w:val="both"/>
        <w:rPr>
          <w:sz w:val="28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spacing w:after="0" w:before="0" w:line="240" w:lineRule="auto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5000000">
      <w:pPr>
        <w:spacing w:before="0" w:line="240" w:lineRule="auto"/>
        <w:ind/>
        <w:jc w:val="both"/>
        <w:rPr>
          <w:sz w:val="20"/>
        </w:rPr>
      </w:pPr>
      <w:r>
        <w:rPr>
          <w:sz w:val="20"/>
        </w:rPr>
        <w:t>8 (499) 495 00 0</w:t>
      </w:r>
      <w:r>
        <w:rPr>
          <w:sz w:val="20"/>
        </w:rPr>
        <w:t>0 (доб. 16-03)</w:t>
      </w:r>
    </w:p>
    <w:sectPr>
      <w:pgSz w:h="16848" w:w="11908"/>
      <w:pgMar w:bottom="652" w:footer="708" w:header="708" w:left="1134" w:right="567" w:top="97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pPr>
        <w:tabs>
          <w:tab w:leader="none" w:pos="0" w:val="left"/>
        </w:tabs>
        <w:ind w:firstLine="0" w:left="0"/>
      </w:pPr>
    </w:lvl>
    <w:lvl w:ilvl="1">
      <w:start w:val="1"/>
      <w:numFmt w:val="decimal"/>
      <w:pPr>
        <w:tabs>
          <w:tab w:leader="none" w:pos="0" w:val="left"/>
        </w:tabs>
        <w:ind w:firstLine="0" w:left="0"/>
      </w:pPr>
    </w:lvl>
    <w:lvl w:ilvl="2">
      <w:start w:val="1"/>
      <w:numFmt w:val="decimal"/>
      <w:pPr>
        <w:tabs>
          <w:tab w:leader="none" w:pos="0" w:val="left"/>
        </w:tabs>
        <w:ind w:firstLine="0" w:left="0"/>
      </w:pPr>
    </w:lvl>
    <w:lvl w:ilvl="3">
      <w:start w:val="1"/>
      <w:numFmt w:val="decimal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"/>
      <w:pPr>
        <w:tabs>
          <w:tab w:leader="none" w:pos="0" w:val="left"/>
        </w:tabs>
        <w:ind w:firstLine="0" w:left="0"/>
      </w:pPr>
    </w:lvl>
    <w:lvl w:ilvl="5">
      <w:start w:val="1"/>
      <w:numFmt w:val="decimal"/>
      <w:pPr>
        <w:tabs>
          <w:tab w:leader="none" w:pos="0" w:val="left"/>
        </w:tabs>
        <w:ind w:firstLine="0" w:left="0"/>
      </w:pPr>
    </w:lvl>
    <w:lvl w:ilvl="6">
      <w:start w:val="1"/>
      <w:numFmt w:val="decimal"/>
      <w:pPr>
        <w:tabs>
          <w:tab w:leader="none" w:pos="0" w:val="left"/>
        </w:tabs>
        <w:ind w:firstLine="0" w:left="0"/>
      </w:pPr>
    </w:lvl>
    <w:lvl w:ilvl="7">
      <w:start w:val="1"/>
      <w:numFmt w:val="decimal"/>
      <w:pPr>
        <w:tabs>
          <w:tab w:leader="none" w:pos="0" w:val="left"/>
        </w:tabs>
        <w:ind w:firstLine="0" w:left="0"/>
      </w:pPr>
    </w:lvl>
    <w:lvl w:ilvl="8">
      <w:start w:val="1"/>
      <w:numFmt w:val="decimal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3" w:type="paragraph">
    <w:name w:val="ConsPlusNormal"/>
    <w:link w:val="Style_3_ch"/>
    <w:pPr>
      <w:widowControl w:val="1"/>
      <w:ind w:firstLine="720" w:left="0" w:right="0"/>
    </w:pPr>
    <w:rPr>
      <w:rFonts w:ascii="Arial" w:hAnsi="Arial"/>
      <w:color w:val="000000"/>
      <w:sz w:val="20"/>
    </w:rPr>
  </w:style>
  <w:style w:styleId="Style_3_ch" w:type="character">
    <w:name w:val="ConsPlusNormal"/>
    <w:link w:val="Style_3"/>
    <w:rPr>
      <w:rFonts w:ascii="Arial" w:hAnsi="Arial"/>
      <w:color w:val="000000"/>
      <w:sz w:val="20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Основной шрифт абзаца"/>
    <w:link w:val="Style_11_ch"/>
  </w:style>
  <w:style w:styleId="Style_11_ch" w:type="character">
    <w:name w:val="Основной шрифт абзаца"/>
    <w:link w:val="Style_11"/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toc 3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Указатель"/>
    <w:basedOn w:val="Style_4"/>
    <w:link w:val="Style_15_ch"/>
  </w:style>
  <w:style w:styleId="Style_15_ch" w:type="character">
    <w:name w:val="Указатель"/>
    <w:basedOn w:val="Style_4_ch"/>
    <w:link w:val="Style_15"/>
  </w:style>
  <w:style w:styleId="Style_16" w:type="paragraph">
    <w:name w:val="caption"/>
    <w:basedOn w:val="Style_4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4_ch"/>
    <w:link w:val="Style_16"/>
    <w:rPr>
      <w:i w:val="1"/>
      <w:sz w:val="24"/>
    </w:rPr>
  </w:style>
  <w:style w:styleId="Style_17" w:type="paragraph">
    <w:name w:val="page number"/>
    <w:basedOn w:val="Style_11"/>
    <w:link w:val="Style_17_ch"/>
  </w:style>
  <w:style w:styleId="Style_17_ch" w:type="character">
    <w:name w:val="page number"/>
    <w:basedOn w:val="Style_11_ch"/>
    <w:link w:val="Style_17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numPr>
        <w:ilvl w:val="4"/>
        <w:numId w:val="1"/>
      </w:numPr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8" w:type="paragraph">
    <w:name w:val="heading 1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Текст выноски Знак"/>
    <w:link w:val="Style_19_ch"/>
    <w:rPr>
      <w:rFonts w:ascii="Segoe UI" w:hAnsi="Segoe UI"/>
      <w:sz w:val="18"/>
    </w:rPr>
  </w:style>
  <w:style w:styleId="Style_19_ch" w:type="character">
    <w:name w:val="Текст выноски Знак"/>
    <w:link w:val="Style_19"/>
    <w:rPr>
      <w:rFonts w:ascii="Segoe UI" w:hAnsi="Segoe UI"/>
      <w:sz w:val="1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rPr>
      <w:rFonts w:ascii="XO Thames" w:hAnsi="XO Thames"/>
      <w:color w:val="757575"/>
      <w:sz w:val="20"/>
    </w:rPr>
  </w:style>
  <w:style w:styleId="Style_21_ch" w:type="character">
    <w:name w:val="Footnote"/>
    <w:link w:val="Style_21"/>
    <w:rPr>
      <w:rFonts w:ascii="XO Thames" w:hAnsi="XO Thames"/>
      <w:color w:val="757575"/>
      <w:sz w:val="20"/>
    </w:rPr>
  </w:style>
  <w:style w:styleId="Style_22" w:type="paragraph">
    <w:name w:val="Заголовок"/>
    <w:basedOn w:val="Style_4"/>
    <w:next w:val="Style_13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"/>
    <w:basedOn w:val="Style_4_ch"/>
    <w:link w:val="Style_22"/>
    <w:rPr>
      <w:rFonts w:ascii="Arial" w:hAnsi="Arial"/>
      <w:sz w:val="28"/>
    </w:rPr>
  </w:style>
  <w:style w:styleId="Style_23" w:type="paragraph">
    <w:name w:val="header"/>
    <w:basedOn w:val="Style_4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4_ch"/>
    <w:link w:val="Style_23"/>
  </w:style>
  <w:style w:styleId="Style_24" w:type="paragraph">
    <w:name w:val="toc 1"/>
    <w:link w:val="Style_24_ch"/>
    <w:uiPriority w:val="39"/>
    <w:pPr>
      <w:ind w:firstLine="0" w:left="0"/>
    </w:pPr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Текст выноски"/>
    <w:basedOn w:val="Style_4"/>
    <w:link w:val="Style_26_ch"/>
    <w:rPr>
      <w:rFonts w:ascii="Segoe UI" w:hAnsi="Segoe UI"/>
      <w:sz w:val="18"/>
    </w:rPr>
  </w:style>
  <w:style w:styleId="Style_26_ch" w:type="character">
    <w:name w:val="Текст выноски"/>
    <w:basedOn w:val="Style_4_ch"/>
    <w:link w:val="Style_26"/>
    <w:rPr>
      <w:rFonts w:ascii="Segoe UI" w:hAnsi="Segoe UI"/>
      <w:sz w:val="18"/>
    </w:rPr>
  </w:style>
  <w:style w:styleId="Style_13" w:type="paragraph">
    <w:name w:val="Body Text"/>
    <w:basedOn w:val="Style_4"/>
    <w:link w:val="Style_13_ch"/>
    <w:pPr>
      <w:spacing w:after="140" w:before="0" w:line="276" w:lineRule="auto"/>
      <w:ind/>
    </w:pPr>
  </w:style>
  <w:style w:styleId="Style_13_ch" w:type="character">
    <w:name w:val="Body Text"/>
    <w:basedOn w:val="Style_4_ch"/>
    <w:link w:val="Style_13"/>
  </w:style>
  <w:style w:styleId="Style_27" w:type="paragraph">
    <w:name w:val="toc 9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Содержимое таблицы"/>
    <w:basedOn w:val="Style_4"/>
    <w:link w:val="Style_28_ch"/>
  </w:style>
  <w:style w:styleId="Style_28_ch" w:type="character">
    <w:name w:val="Содержимое таблицы"/>
    <w:basedOn w:val="Style_4_ch"/>
    <w:link w:val="Style_28"/>
  </w:style>
  <w:style w:styleId="Style_29" w:type="paragraph">
    <w:name w:val="toc 8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toc 5"/>
    <w:link w:val="Style_30_ch"/>
    <w:uiPriority w:val="39"/>
    <w:pPr>
      <w:ind w:firstLine="0" w:left="800"/>
    </w:pPr>
  </w:style>
  <w:style w:styleId="Style_30_ch" w:type="character">
    <w:name w:val="toc 5"/>
    <w:link w:val="Style_30"/>
  </w:style>
  <w:style w:styleId="Style_31" w:type="paragraph">
    <w:name w:val="Subtitle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36" w:type="paragraph">
    <w:name w:val="Заголовок таблицы"/>
    <w:basedOn w:val="Style_28"/>
    <w:link w:val="Style_36_ch"/>
    <w:pPr>
      <w:ind/>
      <w:jc w:val="center"/>
    </w:pPr>
    <w:rPr>
      <w:b w:val="1"/>
    </w:rPr>
  </w:style>
  <w:style w:styleId="Style_36_ch" w:type="character">
    <w:name w:val="Заголовок таблицы"/>
    <w:basedOn w:val="Style_28_ch"/>
    <w:link w:val="Style_36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