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before="200"/>
              <w:ind/>
              <w:rPr>
                <w:spacing w:val="80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before="200"/>
              <w:ind/>
              <w:rPr>
                <w:sz w:val="28"/>
              </w:rPr>
            </w:pPr>
          </w:p>
        </w:tc>
      </w:tr>
    </w:tbl>
    <w:p w14:paraId="07000000">
      <w:pPr>
        <w:ind/>
        <w:jc w:val="center"/>
      </w:pPr>
      <w:r>
        <w:rPr>
          <w:b w:val="1"/>
          <w:sz w:val="28"/>
        </w:rPr>
        <w:t>О признании не подлежащими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актов Министерства путей сообщения СССР и </w:t>
      </w:r>
    </w:p>
    <w:p w14:paraId="08000000">
      <w:pPr>
        <w:ind/>
        <w:jc w:val="center"/>
      </w:pPr>
      <w:r>
        <w:rPr>
          <w:b w:val="1"/>
          <w:sz w:val="28"/>
        </w:rPr>
        <w:t>Министерства путей сообщения Российской Федерации</w:t>
      </w:r>
    </w:p>
    <w:p w14:paraId="09000000">
      <w:pPr>
        <w:ind/>
        <w:jc w:val="center"/>
        <w:rPr>
          <w:b w:val="1"/>
          <w:sz w:val="28"/>
        </w:rPr>
      </w:pPr>
    </w:p>
    <w:p w14:paraId="0A000000">
      <w:pPr>
        <w:pStyle w:val="Style_3"/>
        <w:numPr>
          <w:ilvl w:val="0"/>
          <w:numId w:val="0"/>
        </w:numPr>
        <w:ind w:firstLine="540" w:left="0" w:right="0"/>
        <w:jc w:val="both"/>
        <w:rPr>
          <w:rFonts w:ascii="Times New Roman" w:hAnsi="Times New Roman"/>
          <w:b w:val="1"/>
          <w:sz w:val="28"/>
        </w:rPr>
      </w:pPr>
    </w:p>
    <w:p w14:paraId="0B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>В целях исключения применения нормативных актов</w:t>
      </w:r>
      <w:r>
        <w:rPr>
          <w:rFonts w:ascii="Times New Roman" w:hAnsi="Times New Roman"/>
          <w:sz w:val="28"/>
        </w:rPr>
        <w:t xml:space="preserve"> Министерства путей сообщения СССР и Министерства путей сообщения Российской Федерации </w:t>
      </w:r>
      <w:r>
        <w:br/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C000000">
      <w:pPr>
        <w:pStyle w:val="Style_3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numPr>
          <w:ilvl w:val="0"/>
          <w:numId w:val="0"/>
        </w:numPr>
        <w:ind w:firstLine="709" w:left="0" w:right="0"/>
        <w:jc w:val="both"/>
        <w:rPr>
          <w:rFonts w:ascii="Times New Roman" w:hAnsi="Times New Roman"/>
          <w:sz w:val="28"/>
        </w:rPr>
      </w:pPr>
    </w:p>
    <w:p w14:paraId="0E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1. Признать не подлежащими применению на территории Российской Федерации акты Министерства путей сообщения СССР (приложение № 1 </w:t>
      </w:r>
      <w:r>
        <w:br/>
      </w:r>
      <w:r>
        <w:rPr>
          <w:rFonts w:ascii="Times New Roman" w:hAnsi="Times New Roman"/>
          <w:sz w:val="28"/>
        </w:rPr>
        <w:t>к настоящему приказу).</w:t>
      </w:r>
    </w:p>
    <w:p w14:paraId="0F000000">
      <w:pPr>
        <w:pStyle w:val="Style_3"/>
        <w:numPr>
          <w:ilvl w:val="0"/>
          <w:numId w:val="0"/>
        </w:numPr>
        <w:ind w:firstLine="709" w:left="0" w:right="0"/>
        <w:jc w:val="both"/>
      </w:pPr>
      <w:r>
        <w:rPr>
          <w:rFonts w:ascii="Times New Roman" w:hAnsi="Times New Roman"/>
          <w:sz w:val="28"/>
        </w:rPr>
        <w:t>2. Признать не подлежащими применению акты Министерства путей сообщения Российской Федерации (приложение № 2 к настоящему приказу).</w:t>
      </w:r>
    </w:p>
    <w:p w14:paraId="10000000">
      <w:pPr>
        <w:ind w:firstLine="0" w:left="0" w:right="8"/>
        <w:jc w:val="both"/>
        <w:rPr>
          <w:sz w:val="28"/>
        </w:rPr>
      </w:pPr>
    </w:p>
    <w:p w14:paraId="11000000">
      <w:pPr>
        <w:ind w:firstLine="0" w:left="0" w:right="8"/>
        <w:jc w:val="both"/>
        <w:rPr>
          <w:sz w:val="28"/>
        </w:rPr>
      </w:pPr>
    </w:p>
    <w:p w14:paraId="12000000">
      <w:pPr>
        <w:ind w:firstLine="0" w:left="0" w:right="8"/>
        <w:jc w:val="both"/>
        <w:rPr>
          <w:sz w:val="28"/>
        </w:rPr>
      </w:pPr>
    </w:p>
    <w:p w14:paraId="13000000">
      <w:pPr>
        <w:ind w:firstLine="0" w:left="0" w:right="-60"/>
        <w:jc w:val="both"/>
      </w:pPr>
      <w:r>
        <w:rPr>
          <w:sz w:val="28"/>
        </w:rPr>
        <w:t>И.о. Министра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И.С. </w:t>
      </w:r>
      <w:r>
        <w:rPr>
          <w:sz w:val="28"/>
        </w:rPr>
        <w:t>Алафинов</w:t>
      </w:r>
    </w:p>
    <w:p w14:paraId="14000000">
      <w:pPr>
        <w:ind w:firstLine="0" w:left="0" w:right="-232"/>
        <w:jc w:val="both"/>
        <w:rPr>
          <w:sz w:val="28"/>
        </w:rPr>
      </w:pPr>
    </w:p>
    <w:p w14:paraId="15000000">
      <w:pPr>
        <w:ind w:firstLine="0" w:left="0" w:right="-232"/>
        <w:jc w:val="both"/>
        <w:rPr>
          <w:sz w:val="28"/>
        </w:rPr>
      </w:pPr>
    </w:p>
    <w:p w14:paraId="16000000">
      <w:pPr>
        <w:ind w:firstLine="0" w:left="0" w:right="-232"/>
        <w:jc w:val="both"/>
        <w:rPr>
          <w:sz w:val="28"/>
        </w:rPr>
      </w:pPr>
    </w:p>
    <w:p w14:paraId="17000000">
      <w:pPr>
        <w:ind w:firstLine="0" w:left="0" w:right="-232"/>
        <w:jc w:val="both"/>
        <w:rPr>
          <w:sz w:val="28"/>
        </w:rPr>
      </w:pPr>
    </w:p>
    <w:p w14:paraId="18000000">
      <w:pPr>
        <w:ind w:firstLine="0" w:left="0" w:right="-232"/>
        <w:jc w:val="both"/>
        <w:rPr>
          <w:sz w:val="28"/>
        </w:rPr>
      </w:pPr>
    </w:p>
    <w:p w14:paraId="19000000">
      <w:pPr>
        <w:ind w:firstLine="0" w:left="0" w:right="-232"/>
        <w:jc w:val="both"/>
        <w:rPr>
          <w:sz w:val="28"/>
        </w:rPr>
      </w:pPr>
    </w:p>
    <w:p w14:paraId="1A000000">
      <w:pPr>
        <w:ind w:firstLine="0" w:left="0" w:right="-232"/>
        <w:jc w:val="both"/>
        <w:rPr>
          <w:sz w:val="28"/>
        </w:rPr>
      </w:pPr>
    </w:p>
    <w:p w14:paraId="1B000000">
      <w:pPr>
        <w:ind w:firstLine="0" w:left="0" w:right="-232"/>
        <w:jc w:val="both"/>
        <w:rPr>
          <w:sz w:val="28"/>
        </w:rPr>
      </w:pPr>
    </w:p>
    <w:p w14:paraId="1C000000">
      <w:pPr>
        <w:ind w:firstLine="0" w:left="0" w:right="-232"/>
        <w:jc w:val="both"/>
        <w:rPr>
          <w:sz w:val="28"/>
        </w:rPr>
      </w:pPr>
    </w:p>
    <w:p w14:paraId="1D000000">
      <w:pPr>
        <w:ind w:firstLine="0" w:left="0" w:right="-232"/>
        <w:jc w:val="both"/>
        <w:rPr>
          <w:sz w:val="28"/>
        </w:rPr>
      </w:pPr>
    </w:p>
    <w:p w14:paraId="1E000000">
      <w:pPr>
        <w:ind w:firstLine="0" w:left="0" w:right="-232"/>
        <w:jc w:val="both"/>
        <w:rPr>
          <w:sz w:val="28"/>
        </w:rPr>
      </w:pPr>
    </w:p>
    <w:p w14:paraId="1F000000">
      <w:pPr>
        <w:ind w:firstLine="0" w:left="0" w:right="-232"/>
        <w:jc w:val="both"/>
        <w:rPr>
          <w:sz w:val="28"/>
        </w:rPr>
      </w:pPr>
    </w:p>
    <w:p w14:paraId="20000000">
      <w:pPr>
        <w:ind w:firstLine="0" w:left="0" w:right="-232"/>
        <w:jc w:val="both"/>
        <w:rPr>
          <w:sz w:val="28"/>
        </w:rPr>
      </w:pPr>
    </w:p>
    <w:p w14:paraId="21000000">
      <w:pPr>
        <w:rPr>
          <w:sz w:val="20"/>
        </w:rPr>
      </w:pPr>
    </w:p>
    <w:p w14:paraId="22000000">
      <w:pPr>
        <w:rPr>
          <w:sz w:val="20"/>
        </w:rPr>
      </w:pPr>
    </w:p>
    <w:p w14:paraId="23000000">
      <w:pPr>
        <w:rPr>
          <w:sz w:val="20"/>
        </w:rPr>
      </w:pPr>
      <w:r>
        <w:rPr>
          <w:sz w:val="20"/>
        </w:rPr>
        <w:t>Ананенко Андрей Олегович</w:t>
      </w:r>
    </w:p>
    <w:p w14:paraId="24000000">
      <w:pPr>
        <w:rPr>
          <w:sz w:val="20"/>
        </w:rPr>
      </w:pPr>
      <w:r>
        <w:rPr>
          <w:sz w:val="20"/>
        </w:rPr>
        <w:t>8 499</w:t>
      </w:r>
      <w:r>
        <w:rPr>
          <w:sz w:val="20"/>
        </w:rPr>
        <w:t> 495 16 03</w:t>
      </w:r>
    </w:p>
    <w:sectPr>
      <w:pgSz w:h="16848" w:w="11908"/>
      <w:pgMar w:bottom="709" w:footer="708" w:header="708" w:left="1134" w:right="567" w:top="975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0">
    <w:lvl w:ilvl="0">
      <w:start w:val="1"/>
      <w:numFmt w:val="decimal"/>
      <w:pPr>
        <w:tabs>
          <w:tab w:leader="none" w:pos="0" w:val="left"/>
        </w:tabs>
        <w:ind w:firstLine="0" w:left="0"/>
      </w:pPr>
    </w:lvl>
    <w:lvl w:ilvl="1">
      <w:start w:val="1"/>
      <w:numFmt w:val="decimal"/>
      <w:pPr>
        <w:tabs>
          <w:tab w:leader="none" w:pos="0" w:val="left"/>
        </w:tabs>
        <w:ind w:firstLine="0" w:left="0"/>
      </w:pPr>
    </w:lvl>
    <w:lvl w:ilvl="2">
      <w:start w:val="1"/>
      <w:numFmt w:val="decimal"/>
      <w:pPr>
        <w:tabs>
          <w:tab w:leader="none" w:pos="0" w:val="left"/>
        </w:tabs>
        <w:ind w:firstLine="0" w:left="0"/>
      </w:pPr>
    </w:lvl>
    <w:lvl w:ilvl="3">
      <w:start w:val="1"/>
      <w:numFmt w:val="decimal"/>
      <w:pPr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"/>
      <w:pPr>
        <w:tabs>
          <w:tab w:leader="none" w:pos="0" w:val="left"/>
        </w:tabs>
        <w:ind w:firstLine="0" w:left="0"/>
      </w:pPr>
    </w:lvl>
    <w:lvl w:ilvl="5">
      <w:start w:val="1"/>
      <w:numFmt w:val="decimal"/>
      <w:pPr>
        <w:tabs>
          <w:tab w:leader="none" w:pos="0" w:val="left"/>
        </w:tabs>
        <w:ind w:firstLine="0" w:left="0"/>
      </w:pPr>
    </w:lvl>
    <w:lvl w:ilvl="6">
      <w:start w:val="1"/>
      <w:numFmt w:val="decimal"/>
      <w:pPr>
        <w:tabs>
          <w:tab w:leader="none" w:pos="0" w:val="left"/>
        </w:tabs>
        <w:ind w:firstLine="0" w:left="0"/>
      </w:pPr>
    </w:lvl>
    <w:lvl w:ilvl="7">
      <w:start w:val="1"/>
      <w:numFmt w:val="decimal"/>
      <w:pPr>
        <w:tabs>
          <w:tab w:leader="none" w:pos="0" w:val="left"/>
        </w:tabs>
        <w:ind w:firstLine="0" w:left="0"/>
      </w:pPr>
    </w:lvl>
    <w:lvl w:ilvl="8">
      <w:start w:val="1"/>
      <w:numFmt w:val="decimal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4_ch" w:type="character">
    <w:name w:val="Normal"/>
    <w:link w:val="Style_4"/>
    <w:rPr>
      <w:rFonts w:ascii="Times New Roman" w:hAnsi="Times New Roman"/>
      <w:color w:val="000000"/>
      <w:sz w:val="24"/>
    </w:rPr>
  </w:style>
  <w:style w:styleId="Style_5" w:type="paragraph">
    <w:name w:val="Указатель"/>
    <w:basedOn w:val="Style_4"/>
    <w:link w:val="Style_5_ch"/>
  </w:style>
  <w:style w:styleId="Style_5_ch" w:type="character">
    <w:name w:val="Указатель"/>
    <w:basedOn w:val="Style_4_ch"/>
    <w:link w:val="Style_5"/>
  </w:style>
  <w:style w:styleId="Style_6" w:type="paragraph">
    <w:name w:val="toc 2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Содержимое таблицы"/>
    <w:basedOn w:val="Style_4"/>
    <w:link w:val="Style_7_ch"/>
  </w:style>
  <w:style w:styleId="Style_7_ch" w:type="character">
    <w:name w:val="Содержимое таблицы"/>
    <w:basedOn w:val="Style_4_ch"/>
    <w:link w:val="Style_7"/>
  </w:style>
  <w:style w:styleId="Style_8" w:type="paragraph">
    <w:name w:val="toc 4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List"/>
    <w:basedOn w:val="Style_10"/>
    <w:link w:val="Style_9_ch"/>
  </w:style>
  <w:style w:styleId="Style_9_ch" w:type="character">
    <w:name w:val="List"/>
    <w:basedOn w:val="Style_10_ch"/>
    <w:link w:val="Style_9"/>
  </w:style>
  <w:style w:styleId="Style_11" w:type="paragraph">
    <w:name w:val="Основной шрифт абзаца"/>
    <w:link w:val="Style_11_ch"/>
  </w:style>
  <w:style w:styleId="Style_11_ch" w:type="character">
    <w:name w:val="Основной шрифт абзаца"/>
    <w:link w:val="Style_11"/>
  </w:style>
  <w:style w:styleId="Style_12" w:type="paragraph">
    <w:name w:val="toc 6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page number"/>
    <w:basedOn w:val="Style_11"/>
    <w:link w:val="Style_14_ch"/>
  </w:style>
  <w:style w:styleId="Style_14_ch" w:type="character">
    <w:name w:val="page number"/>
    <w:basedOn w:val="Style_11_ch"/>
    <w:link w:val="Style_14"/>
  </w:style>
  <w:style w:styleId="Style_15" w:type="paragraph">
    <w:name w:val="heading 3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caption"/>
    <w:basedOn w:val="Style_4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caption"/>
    <w:basedOn w:val="Style_4_ch"/>
    <w:link w:val="Style_16"/>
    <w:rPr>
      <w:i w:val="1"/>
      <w:sz w:val="24"/>
    </w:rPr>
  </w:style>
  <w:style w:styleId="Style_17" w:type="paragraph">
    <w:name w:val="toc 3"/>
    <w:link w:val="Style_17_ch"/>
    <w:uiPriority w:val="39"/>
    <w:pPr>
      <w:ind w:firstLine="0" w:left="400"/>
    </w:pPr>
  </w:style>
  <w:style w:styleId="Style_17_ch" w:type="character">
    <w:name w:val="toc 3"/>
    <w:link w:val="Style_17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numPr>
        <w:ilvl w:val="4"/>
        <w:numId w:val="1"/>
      </w:numPr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8" w:type="paragraph">
    <w:name w:val="heading 1"/>
    <w:link w:val="Style_18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rFonts w:ascii="XO Thames" w:hAnsi="XO Thames"/>
      <w:color w:val="757575"/>
      <w:sz w:val="20"/>
    </w:rPr>
  </w:style>
  <w:style w:styleId="Style_20_ch" w:type="character">
    <w:name w:val="Footnote"/>
    <w:link w:val="Style_20"/>
    <w:rPr>
      <w:rFonts w:ascii="XO Thames" w:hAnsi="XO Thames"/>
      <w:color w:val="757575"/>
      <w:sz w:val="20"/>
    </w:rPr>
  </w:style>
  <w:style w:styleId="Style_21" w:type="paragraph">
    <w:name w:val="toc 1"/>
    <w:link w:val="Style_21_ch"/>
    <w:uiPriority w:val="39"/>
    <w:pPr>
      <w:ind w:firstLine="0" w:left="0"/>
    </w:pPr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22" w:type="paragraph">
    <w:name w:val="Header and Footer"/>
    <w:link w:val="Style_22_ch"/>
    <w:pPr>
      <w:spacing w:line="360" w:lineRule="auto"/>
      <w:ind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header"/>
    <w:basedOn w:val="Style_4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4_ch"/>
    <w:link w:val="Style_23"/>
  </w:style>
  <w:style w:styleId="Style_24" w:type="paragraph">
    <w:name w:val="Текст выноски Знак"/>
    <w:link w:val="Style_24_ch"/>
    <w:rPr>
      <w:rFonts w:ascii="Segoe UI" w:hAnsi="Segoe UI"/>
      <w:sz w:val="18"/>
    </w:rPr>
  </w:style>
  <w:style w:styleId="Style_24_ch" w:type="character">
    <w:name w:val="Текст выноски Знак"/>
    <w:link w:val="Style_24"/>
    <w:rPr>
      <w:rFonts w:ascii="Segoe UI" w:hAnsi="Segoe UI"/>
      <w:sz w:val="18"/>
    </w:rPr>
  </w:style>
  <w:style w:styleId="Style_25" w:type="paragraph">
    <w:name w:val="Заголовок таблицы"/>
    <w:basedOn w:val="Style_7"/>
    <w:link w:val="Style_25_ch"/>
    <w:pPr>
      <w:ind/>
      <w:jc w:val="center"/>
    </w:pPr>
    <w:rPr>
      <w:b w:val="1"/>
    </w:rPr>
  </w:style>
  <w:style w:styleId="Style_25_ch" w:type="character">
    <w:name w:val="Заголовок таблицы"/>
    <w:basedOn w:val="Style_7_ch"/>
    <w:link w:val="Style_25"/>
    <w:rPr>
      <w:b w:val="1"/>
    </w:rPr>
  </w:style>
  <w:style w:styleId="Style_26" w:type="paragraph">
    <w:name w:val="toc 9"/>
    <w:link w:val="Style_26_ch"/>
    <w:uiPriority w:val="39"/>
    <w:pPr>
      <w:ind w:firstLine="0" w:left="1600"/>
    </w:pPr>
  </w:style>
  <w:style w:styleId="Style_26_ch" w:type="character">
    <w:name w:val="toc 9"/>
    <w:link w:val="Style_26"/>
  </w:style>
  <w:style w:styleId="Style_27" w:type="paragraph">
    <w:name w:val="toc 8"/>
    <w:link w:val="Style_27_ch"/>
    <w:uiPriority w:val="39"/>
    <w:pPr>
      <w:ind w:firstLine="0" w:left="1400"/>
    </w:pPr>
  </w:style>
  <w:style w:styleId="Style_27_ch" w:type="character">
    <w:name w:val="toc 8"/>
    <w:link w:val="Style_27"/>
  </w:style>
  <w:style w:styleId="Style_28" w:type="paragraph">
    <w:name w:val="toc 5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" w:type="paragraph">
    <w:name w:val="ConsPlusNormal"/>
    <w:link w:val="Style_3_ch"/>
    <w:pPr>
      <w:widowControl w:val="1"/>
      <w:ind w:firstLine="720" w:left="0" w:right="0"/>
    </w:pPr>
    <w:rPr>
      <w:rFonts w:ascii="Arial" w:hAnsi="Arial"/>
      <w:color w:val="000000"/>
      <w:sz w:val="20"/>
    </w:rPr>
  </w:style>
  <w:style w:styleId="Style_3_ch" w:type="character">
    <w:name w:val="ConsPlusNormal"/>
    <w:link w:val="Style_3"/>
    <w:rPr>
      <w:rFonts w:ascii="Arial" w:hAnsi="Arial"/>
      <w:color w:val="000000"/>
      <w:sz w:val="20"/>
    </w:rPr>
  </w:style>
  <w:style w:styleId="Style_30" w:type="paragraph">
    <w:name w:val="Subtitle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oc 10"/>
    <w:link w:val="Style_31_ch"/>
    <w:uiPriority w:val="39"/>
    <w:pPr>
      <w:ind w:firstLine="0" w:left="1800"/>
    </w:pPr>
  </w:style>
  <w:style w:styleId="Style_31_ch" w:type="character">
    <w:name w:val="toc 10"/>
    <w:link w:val="Style_31"/>
  </w:style>
  <w:style w:styleId="Style_32" w:type="paragraph">
    <w:name w:val="Текст выноски"/>
    <w:basedOn w:val="Style_4"/>
    <w:link w:val="Style_32_ch"/>
    <w:rPr>
      <w:rFonts w:ascii="Segoe UI" w:hAnsi="Segoe UI"/>
      <w:sz w:val="18"/>
    </w:rPr>
  </w:style>
  <w:style w:styleId="Style_32_ch" w:type="character">
    <w:name w:val="Текст выноски"/>
    <w:basedOn w:val="Style_4_ch"/>
    <w:link w:val="Style_32"/>
    <w:rPr>
      <w:rFonts w:ascii="Segoe UI" w:hAnsi="Segoe UI"/>
      <w:sz w:val="18"/>
    </w:rPr>
  </w:style>
  <w:style w:styleId="Style_33" w:type="paragraph">
    <w:name w:val="Title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10" w:type="paragraph">
    <w:name w:val="Body Text"/>
    <w:basedOn w:val="Style_4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4_ch"/>
    <w:link w:val="Style_10"/>
  </w:style>
  <w:style w:styleId="Style_36" w:type="paragraph">
    <w:name w:val="Заголовок"/>
    <w:basedOn w:val="Style_4"/>
    <w:next w:val="Style_10"/>
    <w:link w:val="Style_36_ch"/>
    <w:pPr>
      <w:keepNext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"/>
    <w:basedOn w:val="Style_4_ch"/>
    <w:link w:val="Style_36"/>
    <w:rPr>
      <w:rFonts w:ascii="Arial" w:hAnsi="Arial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