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tLeast" w:line="240"/>
        <w:jc w:val="center"/>
        <w:rPr>
          <w:b/>
          <w:b/>
          <w:color w:val="000000"/>
        </w:rPr>
      </w:pPr>
      <w:r>
        <w:rPr>
          <w:b/>
          <w:sz w:val="28"/>
        </w:rPr>
        <w:t xml:space="preserve">Информация о ходе реализации </w:t>
      </w:r>
    </w:p>
    <w:p>
      <w:pPr>
        <w:pStyle w:val="Normal"/>
        <w:widowControl w:val="false"/>
        <w:spacing w:lineRule="atLeast" w:line="240"/>
        <w:jc w:val="center"/>
        <w:rPr>
          <w:b/>
          <w:b/>
          <w:color w:val="000000"/>
        </w:rPr>
      </w:pPr>
      <w:r>
        <w:rPr>
          <w:b/>
          <w:sz w:val="28"/>
        </w:rPr>
        <w:t xml:space="preserve">Плана мероприятий ("дорожной карты")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– 2020 годы, утвержденного распоряжением Правительства Российской Федерации </w:t>
      </w:r>
      <w:r>
        <w:rPr/>
        <w:br/>
      </w:r>
      <w:r>
        <w:rPr>
          <w:b/>
          <w:sz w:val="28"/>
        </w:rPr>
        <w:t>от 16.08.2018 № 1697-р,</w:t>
      </w:r>
    </w:p>
    <w:p>
      <w:pPr>
        <w:pStyle w:val="Normal"/>
        <w:widowControl w:val="false"/>
        <w:spacing w:lineRule="atLeast" w:line="240"/>
        <w:jc w:val="center"/>
        <w:rPr>
          <w:b/>
          <w:b/>
          <w:color w:val="000000"/>
        </w:rPr>
      </w:pPr>
      <w:r>
        <w:rPr>
          <w:b/>
          <w:color w:val="000000"/>
        </w:rPr>
        <w:t>в части автомобильного транспорта</w:t>
      </w:r>
    </w:p>
    <w:p>
      <w:pPr>
        <w:pStyle w:val="Normal"/>
        <w:widowControl w:val="false"/>
        <w:numPr>
          <w:ilvl w:val="0"/>
          <w:numId w:val="0"/>
        </w:numPr>
        <w:ind w:left="0" w:right="0" w:hanging="0"/>
        <w:jc w:val="center"/>
        <w:outlineLvl w:val="0"/>
        <w:rPr>
          <w:rFonts w:ascii="Arial" w:hAnsi="Arial"/>
          <w:b/>
          <w:b/>
          <w:i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  <w:t xml:space="preserve">II. План развития конкуренции </w:t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r>
    </w:p>
    <w:tbl>
      <w:tblPr>
        <w:tblStyle w:val="Style_3"/>
        <w:tblW w:w="15138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4763"/>
        <w:gridCol w:w="1276"/>
        <w:gridCol w:w="3912"/>
        <w:gridCol w:w="1984"/>
        <w:gridCol w:w="2664"/>
      </w:tblGrid>
      <w:tr>
        <w:trPr/>
        <w:tc>
          <w:tcPr>
            <w:tcW w:w="53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 xml:space="preserve">Вид документа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 xml:space="preserve">Ожидаемый результат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 xml:space="preserve">Срок реализации </w:t>
            </w:r>
            <w:hyperlink r:id="rId2">
              <w:r>
                <w:rPr>
                  <w:rStyle w:val="ListLabel1"/>
                  <w:rFonts w:ascii="Arial" w:hAnsi="Arial"/>
                  <w:b w:val="false"/>
                  <w:i w:val="false"/>
                  <w:strike w:val="false"/>
                  <w:dstrike w:val="false"/>
                  <w:color w:val="000000"/>
                  <w:sz w:val="18"/>
                  <w:u w:val="none"/>
                </w:rPr>
                <w:t xml:space="preserve">&lt;1&gt; </w:t>
              </w:r>
            </w:hyperlink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 xml:space="preserve">Ответственные исполнители (соисполнители) </w:t>
            </w:r>
          </w:p>
        </w:tc>
      </w:tr>
      <w:tr>
        <w:trPr/>
        <w:tc>
          <w:tcPr>
            <w:tcW w:w="15137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1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XVII. Транспортные услуги</w:t>
            </w:r>
          </w:p>
        </w:tc>
      </w:tr>
      <w:tr>
        <w:trPr/>
        <w:tc>
          <w:tcPr>
            <w:tcW w:w="15137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2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Автомобильный транспорт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3.</w:t>
            </w:r>
          </w:p>
        </w:tc>
        <w:tc>
          <w:tcPr>
            <w:tcW w:w="47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Разработка и утверждение типового контракта для закупки уполномоченными органами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приказ Минтранса России</w:t>
            </w:r>
          </w:p>
        </w:tc>
        <w:tc>
          <w:tcPr>
            <w:tcW w:w="39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оптимизация процедур государственных закупок в сфере автомобильного транспорта. Урегулирование порядка проведения государственных (муниципальных) закупок уполномоченными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IV квартал 2018 г.</w:t>
            </w:r>
          </w:p>
        </w:tc>
        <w:tc>
          <w:tcPr>
            <w:tcW w:w="26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Минтранс России,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Минфин России,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Минэкономразвития России,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ФАС России</w:t>
            </w:r>
          </w:p>
        </w:tc>
      </w:tr>
      <w:tr>
        <w:trPr>
          <w:trHeight w:val="1035" w:hRule="atLeast"/>
        </w:trPr>
        <w:tc>
          <w:tcPr>
            <w:tcW w:w="1513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>Издан п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>риказ Минтранса России от 29 декабря 2018 г. № 482 «Об утверждении типов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>ых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 xml:space="preserve"> контракт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>ов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 xml:space="preserve">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и информационн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>ых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 xml:space="preserve"> карт типов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>ых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 xml:space="preserve"> контракт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>ов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 xml:space="preserve">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тарифам» 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>(з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арегистрирован Минюст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России 22 июля 2019 г.,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регистрационный №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55340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).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4.</w:t>
            </w:r>
          </w:p>
        </w:tc>
        <w:tc>
          <w:tcPr>
            <w:tcW w:w="47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 xml:space="preserve">Разработка проекта федерального закона, предусматривающего внесение изменений в </w:t>
            </w:r>
            <w:hyperlink r:id="rId3">
              <w:r>
                <w:rPr>
                  <w:rStyle w:val="ListLabel1"/>
                  <w:rFonts w:ascii="Arial" w:hAnsi="Arial"/>
                  <w:b w:val="false"/>
                  <w:i w:val="false"/>
                  <w:strike w:val="false"/>
                  <w:dstrike w:val="false"/>
                  <w:color w:val="000000"/>
                  <w:sz w:val="18"/>
                  <w:u w:val="none"/>
                </w:rPr>
                <w:t>статью 34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 xml:space="preserve"> Федерального закона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направленных на установление единого перечня обязательных платных услуг в зданиях и на территориях автовокзалов и автостанций, а также формирование правил взимания сборов за их оказание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федеральный закон</w:t>
            </w:r>
          </w:p>
        </w:tc>
        <w:tc>
          <w:tcPr>
            <w:tcW w:w="39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формирование единообразных стандартов и правил поведения на рынке услуг автовокзалов и автостанций, а также формирование единообразного подхода к установлению стоимости таких услуг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2018 год</w:t>
            </w:r>
          </w:p>
        </w:tc>
        <w:tc>
          <w:tcPr>
            <w:tcW w:w="26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Минтранс России,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Минфин России,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Минэкономразвития России</w:t>
            </w:r>
          </w:p>
        </w:tc>
      </w:tr>
      <w:tr>
        <w:trPr>
          <w:trHeight w:val="240" w:hRule="atLeast"/>
        </w:trPr>
        <w:tc>
          <w:tcPr>
            <w:tcW w:w="1513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 xml:space="preserve">Минтранс России письмом от 6 ноября 2018 г. № ЕД-10/16371 повторно внес в Правительство Российской Федерации доработанный с учетом замечаний Государственно-правового управления Президента Российской Федерации, изложенных в письме от 23.08.2018 № П9-43687, проект федерального закона </w:t>
              <w:br/>
              <w:t xml:space="preserve">«О внесении изменений в статью 34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. </w:t>
            </w:r>
          </w:p>
          <w:p>
            <w:pPr>
              <w:pStyle w:val="Normal"/>
              <w:widowControl w:val="false"/>
              <w:spacing w:lineRule="auto" w:line="240"/>
              <w:ind w:left="0" w:right="0" w:firstLine="709"/>
              <w:jc w:val="both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>Проект федерального закона распоряжением Правительства Российской Федерации от 22 марта 2019 г. № 497-р внесен в Государственную Думу Федерального Собрания Российской Федерации (законопроект № 674420-7).</w:t>
            </w:r>
          </w:p>
          <w:p>
            <w:pPr>
              <w:pStyle w:val="Normal"/>
              <w:widowControl w:val="false"/>
              <w:spacing w:lineRule="auto" w:line="240"/>
              <w:ind w:left="0" w:right="0" w:firstLine="709"/>
              <w:jc w:val="both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>10 июля 2019 г. законопроект № 674420-7принят Государственной Думой Федерального Собрания Российской Федерации в первом чтении.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bookmarkStart w:id="0" w:name="Par42"/>
            <w:bookmarkEnd w:id="0"/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5.</w:t>
            </w:r>
          </w:p>
        </w:tc>
        <w:tc>
          <w:tcPr>
            <w:tcW w:w="47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6"/>
                <w:u w:val="none"/>
              </w:rPr>
              <w:t xml:space="preserve">Принятие ведомственных нормативных правовых актов, направленных на реализацию Федерального </w:t>
            </w:r>
            <w:hyperlink r:id="rId4">
              <w:r>
                <w:rPr>
                  <w:rStyle w:val="ListLabel2"/>
                  <w:rFonts w:ascii="Arial" w:hAnsi="Arial"/>
                  <w:b w:val="false"/>
                  <w:i w:val="false"/>
                  <w:strike w:val="false"/>
                  <w:dstrike w:val="false"/>
                  <w:color w:val="000000"/>
                  <w:sz w:val="16"/>
                  <w:u w:val="none"/>
                </w:rPr>
                <w:t>закона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6"/>
                <w:u w:val="none"/>
              </w:rPr>
      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приказы Минтранса России</w:t>
            </w:r>
          </w:p>
        </w:tc>
        <w:tc>
          <w:tcPr>
            <w:tcW w:w="39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6"/>
                <w:u w:val="none"/>
              </w:rPr>
              <w:t xml:space="preserve">реализация положений Федерального закона, предусмотренного </w:t>
            </w:r>
            <w:hyperlink w:anchor="Par42">
              <w:r>
                <w:rPr>
                  <w:rStyle w:val="ListLabel2"/>
                  <w:rFonts w:ascii="Arial" w:hAnsi="Arial"/>
                  <w:b w:val="false"/>
                  <w:i w:val="false"/>
                  <w:strike w:val="false"/>
                  <w:dstrike w:val="false"/>
                  <w:color w:val="000000"/>
                  <w:sz w:val="16"/>
                  <w:u w:val="none"/>
                </w:rPr>
                <w:t>пунктом 5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6"/>
                <w:u w:val="none"/>
              </w:rPr>
              <w:t xml:space="preserve"> настоящего раздела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6"/>
                <w:u w:val="none"/>
              </w:rPr>
              <w:t xml:space="preserve">в течение 6 месяцев с даты вступления в силу Федерального закона, предусмотренного </w:t>
            </w:r>
            <w:hyperlink w:anchor="Par42">
              <w:r>
                <w:rPr>
                  <w:rStyle w:val="ListLabel2"/>
                  <w:rFonts w:ascii="Arial" w:hAnsi="Arial"/>
                  <w:b w:val="false"/>
                  <w:i w:val="false"/>
                  <w:strike w:val="false"/>
                  <w:dstrike w:val="false"/>
                  <w:color w:val="000000"/>
                  <w:sz w:val="16"/>
                  <w:u w:val="none"/>
                </w:rPr>
                <w:t>пунктом 5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6"/>
                <w:u w:val="none"/>
              </w:rPr>
              <w:t xml:space="preserve"> настоящего раздела</w:t>
            </w:r>
          </w:p>
        </w:tc>
        <w:tc>
          <w:tcPr>
            <w:tcW w:w="26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Минтранс России,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ФАС России,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Минфин России,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Минэкономразвития России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headerReference w:type="first" r:id="rId6"/>
      <w:type w:val="nextPage"/>
      <w:pgSz w:w="16838" w:h="11906"/>
      <w:pgMar w:left="851" w:right="851" w:header="709" w:top="1304" w:footer="0" w:bottom="102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tabs>
        <w:tab w:val="clear" w:pos="4153"/>
        <w:tab w:val="clear" w:pos="8306"/>
      </w:tabs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2860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05pt;height:18pt;mso-wrap-distance-left:0pt;mso-wrap-distance-right:0pt;mso-wrap-distance-top:0pt;mso-wrap-distance-bottom:0pt;margin-top:0.05pt;mso-position-vertical-relative:text;margin-left:374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tabs>
        <w:tab w:val="clear" w:pos="4153"/>
        <w:tab w:val="clear" w:pos="8306"/>
      </w:tabs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 CYR" w:hAnsi="Times New Roman CYR" w:eastAsia="Tahoma" w:cs="Droid Sans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/>
      <w:bidi w:val="0"/>
      <w:spacing w:lineRule="atLeast" w:line="360" w:before="0" w:after="0"/>
      <w:ind w:left="0" w:right="0" w:hanging="0"/>
      <w:jc w:val="both"/>
    </w:pPr>
    <w:rPr>
      <w:rFonts w:ascii="Times New Roman" w:hAnsi="Times New Roman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link w:val="Style_16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30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10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28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15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4"/>
    <w:qFormat/>
    <w:rPr>
      <w:rFonts w:ascii="Times New Roman" w:hAnsi="Times New Roman"/>
      <w:sz w:val="28"/>
    </w:rPr>
  </w:style>
  <w:style w:type="character" w:styleId="Contents2">
    <w:name w:val="Contents 2"/>
    <w:link w:val="Style_5"/>
    <w:qFormat/>
    <w:rPr/>
  </w:style>
  <w:style w:type="character" w:styleId="Contents4">
    <w:name w:val="Contents 4"/>
    <w:link w:val="Style_6"/>
    <w:qFormat/>
    <w:rPr/>
  </w:style>
  <w:style w:type="character" w:styleId="Contents6">
    <w:name w:val="Contents 6"/>
    <w:link w:val="Style_7"/>
    <w:qFormat/>
    <w:rPr/>
  </w:style>
  <w:style w:type="character" w:styleId="Contents7">
    <w:name w:val="Contents 7"/>
    <w:link w:val="Style_8"/>
    <w:qFormat/>
    <w:rPr/>
  </w:style>
  <w:style w:type="character" w:styleId="ListParagraph">
    <w:name w:val="List Paragraph"/>
    <w:basedOn w:val="Standard"/>
    <w:link w:val="Style_9"/>
    <w:qFormat/>
    <w:rPr/>
  </w:style>
  <w:style w:type="character" w:styleId="Heading3">
    <w:name w:val="Heading 3"/>
    <w:link w:val="Style_10"/>
    <w:qFormat/>
    <w:rPr>
      <w:rFonts w:ascii="XO Thames" w:hAnsi="XO Thames"/>
      <w:b/>
      <w:i/>
      <w:color w:val="000000"/>
    </w:rPr>
  </w:style>
  <w:style w:type="character" w:styleId="Pagenumber">
    <w:name w:val="page number"/>
    <w:basedOn w:val="DefaultParagraphFont"/>
    <w:link w:val="Style_1"/>
    <w:qFormat/>
    <w:rPr/>
  </w:style>
  <w:style w:type="character" w:styleId="Footer">
    <w:name w:val="Footer"/>
    <w:basedOn w:val="Standard"/>
    <w:link w:val="Style_12"/>
    <w:qFormat/>
    <w:rPr/>
  </w:style>
  <w:style w:type="character" w:styleId="Contents3">
    <w:name w:val="Contents 3"/>
    <w:link w:val="Style_13"/>
    <w:qFormat/>
    <w:rPr/>
  </w:style>
  <w:style w:type="character" w:styleId="11pt">
    <w:name w:val="Основной текст + 11 pt"/>
    <w:link w:val="Style_14"/>
    <w:qFormat/>
    <w:rPr>
      <w:rFonts w:ascii="Times New Roman" w:hAnsi="Times New Roman"/>
      <w:color w:val="000000"/>
      <w:spacing w:val="0"/>
      <w:sz w:val="22"/>
      <w:u w:val="none"/>
    </w:rPr>
  </w:style>
  <w:style w:type="character" w:styleId="Heading5">
    <w:name w:val="Heading 5"/>
    <w:link w:val="Style_15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6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7"/>
    <w:rPr>
      <w:color w:val="0000FF"/>
      <w:u w:val="single"/>
    </w:rPr>
  </w:style>
  <w:style w:type="character" w:styleId="Footnote">
    <w:name w:val="Footnote"/>
    <w:link w:val="Style_18"/>
    <w:qFormat/>
    <w:rPr>
      <w:rFonts w:ascii="XO Thames" w:hAnsi="XO Thames"/>
      <w:color w:val="757575"/>
      <w:sz w:val="20"/>
    </w:rPr>
  </w:style>
  <w:style w:type="character" w:styleId="DefaultParagraphFont">
    <w:name w:val="Default Paragraph Font"/>
    <w:link w:val="Style_11"/>
    <w:qFormat/>
    <w:rPr/>
  </w:style>
  <w:style w:type="character" w:styleId="Contents1">
    <w:name w:val="Contents 1"/>
    <w:link w:val="Style_19"/>
    <w:qFormat/>
    <w:rPr>
      <w:rFonts w:ascii="XO Thames" w:hAnsi="XO Thames"/>
      <w:b/>
    </w:rPr>
  </w:style>
  <w:style w:type="character" w:styleId="HeaderandFooter">
    <w:name w:val="Header and Footer"/>
    <w:link w:val="Style_20"/>
    <w:qFormat/>
    <w:rPr>
      <w:rFonts w:ascii="XO Thames" w:hAnsi="XO Thames"/>
      <w:sz w:val="20"/>
    </w:rPr>
  </w:style>
  <w:style w:type="character" w:styleId="Contents9">
    <w:name w:val="Contents 9"/>
    <w:link w:val="Style_21"/>
    <w:qFormat/>
    <w:rPr/>
  </w:style>
  <w:style w:type="character" w:styleId="Contents8">
    <w:name w:val="Contents 8"/>
    <w:link w:val="Style_22"/>
    <w:qFormat/>
    <w:rPr/>
  </w:style>
  <w:style w:type="character" w:styleId="Contents5">
    <w:name w:val="Contents 5"/>
    <w:link w:val="Style_23"/>
    <w:qFormat/>
    <w:rPr/>
  </w:style>
  <w:style w:type="character" w:styleId="BalloonText">
    <w:name w:val="Balloon Text"/>
    <w:basedOn w:val="Standard"/>
    <w:link w:val="Style_24"/>
    <w:qFormat/>
    <w:rPr>
      <w:rFonts w:ascii="Tahoma" w:hAnsi="Tahoma"/>
      <w:sz w:val="16"/>
    </w:rPr>
  </w:style>
  <w:style w:type="character" w:styleId="Header">
    <w:name w:val="Header"/>
    <w:basedOn w:val="Standard"/>
    <w:link w:val="Style_2"/>
    <w:qFormat/>
    <w:rPr/>
  </w:style>
  <w:style w:type="character" w:styleId="Subtitle">
    <w:name w:val="Subtitle"/>
    <w:link w:val="Style_25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6"/>
    <w:qFormat/>
    <w:rPr/>
  </w:style>
  <w:style w:type="character" w:styleId="Title">
    <w:name w:val="Title"/>
    <w:link w:val="Style_27"/>
    <w:qFormat/>
    <w:rPr>
      <w:rFonts w:ascii="XO Thames" w:hAnsi="XO Thames"/>
      <w:b/>
      <w:sz w:val="52"/>
    </w:rPr>
  </w:style>
  <w:style w:type="character" w:styleId="Heading4">
    <w:name w:val="Heading 4"/>
    <w:link w:val="Style_28"/>
    <w:qFormat/>
    <w:rPr>
      <w:rFonts w:ascii="XO Thames" w:hAnsi="XO Thames"/>
      <w:b/>
      <w:color w:val="595959"/>
      <w:sz w:val="26"/>
    </w:rPr>
  </w:style>
  <w:style w:type="character" w:styleId="11">
    <w:name w:val="Основной текст1"/>
    <w:basedOn w:val="Standard"/>
    <w:link w:val="Style_29"/>
    <w:qFormat/>
    <w:rPr>
      <w:sz w:val="18"/>
    </w:rPr>
  </w:style>
  <w:style w:type="character" w:styleId="Heading2">
    <w:name w:val="Heading 2"/>
    <w:link w:val="Style_30"/>
    <w:qFormat/>
    <w:rPr>
      <w:rFonts w:ascii="XO Thames" w:hAnsi="XO Thames"/>
      <w:b/>
      <w:color w:val="00A0FF"/>
      <w:sz w:val="26"/>
    </w:rPr>
  </w:style>
  <w:style w:type="character" w:styleId="ListLabel1">
    <w:name w:val="ListLabel 1"/>
    <w:qFormat/>
    <w:rPr>
      <w:rFonts w:ascii="Arial" w:hAnsi="Arial"/>
      <w:b w:val="false"/>
      <w:i w:val="false"/>
      <w:strike w:val="false"/>
      <w:dstrike w:val="false"/>
      <w:color w:val="000000"/>
      <w:sz w:val="18"/>
      <w:u w:val="none"/>
    </w:rPr>
  </w:style>
  <w:style w:type="character" w:styleId="ListLabel2">
    <w:name w:val="ListLabel 2"/>
    <w:qFormat/>
    <w:rPr>
      <w:rFonts w:ascii="Arial" w:hAnsi="Arial"/>
      <w:b w:val="false"/>
      <w:i w:val="false"/>
      <w:strike w:val="false"/>
      <w:dstrike w:val="false"/>
      <w:color w:val="000000"/>
      <w:sz w:val="16"/>
      <w:u w:val="non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Droid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roid Sans Devanagari"/>
    </w:rPr>
  </w:style>
  <w:style w:type="paragraph" w:styleId="21">
    <w:name w:val="TOC 2"/>
    <w:basedOn w:val="Normal"/>
    <w:link w:val="Style_5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6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link w:val="Style_7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8_ch"/>
    <w:uiPriority w:val="39"/>
    <w:pPr>
      <w:widowControl/>
      <w:bidi w:val="0"/>
      <w:ind w:left="1200" w:right="0" w:hanging="0"/>
      <w:jc w:val="left"/>
    </w:pPr>
    <w:rPr/>
  </w:style>
  <w:style w:type="paragraph" w:styleId="ListParagraph1">
    <w:name w:val="List Paragraph"/>
    <w:basedOn w:val="Normal"/>
    <w:link w:val="Style_9_ch"/>
    <w:qFormat/>
    <w:pPr>
      <w:spacing w:lineRule="auto" w:line="240" w:before="0" w:after="0"/>
      <w:ind w:left="720" w:right="0" w:hanging="0"/>
      <w:contextualSpacing/>
      <w:jc w:val="left"/>
    </w:pPr>
    <w:rPr/>
  </w:style>
  <w:style w:type="paragraph" w:styleId="Pagenumber1">
    <w:name w:val="page number"/>
    <w:basedOn w:val="DefaultParagraphFont1"/>
    <w:link w:val="Style_1_ch"/>
    <w:qFormat/>
    <w:pPr/>
    <w:rPr/>
  </w:style>
  <w:style w:type="paragraph" w:styleId="Style15">
    <w:name w:val="Footer"/>
    <w:basedOn w:val="Normal"/>
    <w:link w:val="Style_12_ch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31">
    <w:name w:val="TOC 3"/>
    <w:basedOn w:val="Normal"/>
    <w:link w:val="Style_13_ch"/>
    <w:uiPriority w:val="39"/>
    <w:pPr>
      <w:widowControl/>
      <w:bidi w:val="0"/>
      <w:ind w:left="400" w:right="0" w:hanging="0"/>
      <w:jc w:val="left"/>
    </w:pPr>
    <w:rPr/>
  </w:style>
  <w:style w:type="paragraph" w:styleId="11pt1">
    <w:name w:val="Основной текст + 11 pt"/>
    <w:link w:val="Style_14_ch"/>
    <w:qFormat/>
    <w:pPr>
      <w:widowControl/>
      <w:bidi w:val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2"/>
      <w:szCs w:val="20"/>
      <w:u w:val="none"/>
      <w:lang w:val="ru-RU" w:eastAsia="zh-CN" w:bidi="hi-IN"/>
    </w:rPr>
  </w:style>
  <w:style w:type="paragraph" w:styleId="Internetlink">
    <w:name w:val="Internet link"/>
    <w:link w:val="Style_17_ch"/>
    <w:qFormat/>
    <w:pPr>
      <w:widowControl/>
      <w:bidi w:val="0"/>
      <w:jc w:val="left"/>
    </w:pPr>
    <w:rPr>
      <w:rFonts w:ascii="Times New Roman CYR" w:hAnsi="Times New Roman CYR" w:eastAsia="Tahoma" w:cs="Droid Sans Devanagari"/>
      <w:color w:val="0000FF"/>
      <w:spacing w:val="0"/>
      <w:kern w:val="0"/>
      <w:sz w:val="28"/>
      <w:szCs w:val="20"/>
      <w:u w:val="single"/>
      <w:lang w:val="ru-RU" w:eastAsia="zh-CN" w:bidi="hi-IN"/>
    </w:rPr>
  </w:style>
  <w:style w:type="paragraph" w:styleId="Footnote1">
    <w:name w:val="Footnote"/>
    <w:link w:val="Style_18_ch"/>
    <w:qFormat/>
    <w:pPr>
      <w:widowControl/>
      <w:bidi w:val="0"/>
      <w:jc w:val="left"/>
    </w:pPr>
    <w:rPr>
      <w:rFonts w:ascii="XO Thames" w:hAnsi="XO Thames" w:eastAsia="Tahoma" w:cs="Droid Sans Devanagari"/>
      <w:color w:val="757575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11_ch"/>
    <w:qFormat/>
    <w:pPr>
      <w:widowControl/>
      <w:bidi w:val="0"/>
      <w:jc w:val="left"/>
    </w:pPr>
    <w:rPr>
      <w:rFonts w:ascii="Times New Roman CYR" w:hAnsi="Times New Roman CYR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2">
    <w:name w:val="TOC 1"/>
    <w:basedOn w:val="Normal"/>
    <w:link w:val="Style_19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HeaderandFooter1">
    <w:name w:val="Header and Footer"/>
    <w:link w:val="Style_20_ch"/>
    <w:qFormat/>
    <w:pPr>
      <w:widowControl/>
      <w:bidi w:val="0"/>
      <w:spacing w:lineRule="auto" w:line="360"/>
      <w:jc w:val="left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21_ch"/>
    <w:uiPriority w:val="39"/>
    <w:pPr>
      <w:widowControl/>
      <w:bidi w:val="0"/>
      <w:ind w:left="1600" w:right="0" w:hanging="0"/>
      <w:jc w:val="left"/>
    </w:pPr>
    <w:rPr/>
  </w:style>
  <w:style w:type="paragraph" w:styleId="8">
    <w:name w:val="TOC 8"/>
    <w:basedOn w:val="Normal"/>
    <w:link w:val="Style_22_ch"/>
    <w:uiPriority w:val="39"/>
    <w:pPr>
      <w:widowControl/>
      <w:bidi w:val="0"/>
      <w:ind w:left="1400" w:right="0" w:hanging="0"/>
      <w:jc w:val="left"/>
    </w:pPr>
    <w:rPr/>
  </w:style>
  <w:style w:type="paragraph" w:styleId="51">
    <w:name w:val="TOC 5"/>
    <w:basedOn w:val="Normal"/>
    <w:link w:val="Style_23_ch"/>
    <w:uiPriority w:val="39"/>
    <w:pPr>
      <w:widowControl/>
      <w:bidi w:val="0"/>
      <w:ind w:left="800" w:right="0" w:hanging="0"/>
      <w:jc w:val="left"/>
    </w:pPr>
    <w:rPr/>
  </w:style>
  <w:style w:type="paragraph" w:styleId="BalloonText1">
    <w:name w:val="Balloon Text"/>
    <w:basedOn w:val="Normal"/>
    <w:link w:val="Style_24_ch"/>
    <w:qFormat/>
    <w:pPr>
      <w:spacing w:lineRule="auto" w:line="240"/>
    </w:pPr>
    <w:rPr>
      <w:rFonts w:ascii="Tahoma" w:hAnsi="Tahoma"/>
      <w:sz w:val="16"/>
    </w:rPr>
  </w:style>
  <w:style w:type="paragraph" w:styleId="Style16">
    <w:name w:val="Header"/>
    <w:basedOn w:val="Normal"/>
    <w:link w:val="Style_2_ch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7">
    <w:name w:val="Subtitle"/>
    <w:basedOn w:val="Normal"/>
    <w:link w:val="Style_25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26_ch"/>
    <w:uiPriority w:val="39"/>
    <w:qFormat/>
    <w:pPr>
      <w:widowControl/>
      <w:bidi w:val="0"/>
      <w:ind w:left="1800" w:hanging="0"/>
      <w:jc w:val="left"/>
    </w:pPr>
    <w:rPr>
      <w:rFonts w:ascii="Times New Roman CYR" w:hAnsi="Times New Roman CYR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Title"/>
    <w:basedOn w:val="Normal"/>
    <w:link w:val="Style_27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13">
    <w:name w:val="Основной текст1"/>
    <w:basedOn w:val="Normal"/>
    <w:link w:val="Style_29_ch"/>
    <w:qFormat/>
    <w:pPr>
      <w:widowControl w:val="false"/>
      <w:spacing w:lineRule="exact" w:line="216" w:before="0" w:after="360"/>
      <w:ind w:left="0" w:right="0" w:hanging="280"/>
    </w:pPr>
    <w:rPr>
      <w:sz w:val="18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styleId="Style_31">
    <w:name w:val="Table Grid"/>
    <w:basedOn w:val="Style_3"/>
    <w:rPr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2">
    <w:name w:val="Сетка таблицы1"/>
    <w:basedOn w:val="Style_3"/>
    <w:rPr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7152473FBAEC7A895B07B9C390D1BDBD73094A26941FCD52DD08A650B570F70F1C7394C9148B0B2A7CDEEE48F639D48E90B67A109CEF66Cd4K5P" TargetMode="External"/><Relationship Id="rId3" Type="http://schemas.openxmlformats.org/officeDocument/2006/relationships/hyperlink" Target="consultantplus://offline/ref=D4743701ADB5EDA333D710C6AE0116B45D6FC6813D5E01FF0945373B85C07C86A557B4E42EF8CFD1358D23AFA4B8CD1BD6FF5B4F12E7731756H7P" TargetMode="External"/><Relationship Id="rId4" Type="http://schemas.openxmlformats.org/officeDocument/2006/relationships/hyperlink" Target="consultantplus://offline/ref=D4743701ADB5EDA333D710C6AE0116B45D6FC6813D5E01FF0945373B85C07C86B757ECE82EFED2D5349875FEE15EH5P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LibreOffice/6.1.5.2$Linux_X86_64 LibreOffice_project/10$Build-2</Application>
  <Pages>2</Pages>
  <Words>493</Words>
  <Characters>3643</Characters>
  <CharactersWithSpaces>4105</CharactersWithSpaces>
  <Paragraphs>42</Paragraphs>
  <Company>КонсультантПлюс Версия 4017.00.99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2019-08-19T18:28:00Z</dcterms:created>
  <dc:creator/>
  <dc:description/>
  <dc:language>ru-RU</dc:language>
  <cp:lastModifiedBy/>
  <dcterms:modified xsi:type="dcterms:W3CDTF">2019-08-19T18:34:19Z</dcterms:modified>
  <cp:revision>3</cp:revision>
  <dc:subject/>
  <dc:title>Приказ Минтранса России от 29.12.2018 N 482"Об утверждении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и информационных карт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тарифам"(Зарегистрировано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  <property fmtid="{D5CDD505-2E9C-101B-9397-08002B2CF9AE}" pid="3" name="DocSecurity">
    <vt:i4>0</vt:i4>
  </property>
  <property fmtid="{D5CDD505-2E9C-101B-9397-08002B2CF9AE}" pid="4" name="ScaleCrop">
    <vt:bool>0</vt:bool>
  </property>
</Properties>
</file>