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240"/>
        <w:jc w:val="center"/>
        <w:rPr>
          <w:b/>
          <w:b/>
          <w:color w:val="000000"/>
        </w:rPr>
      </w:pPr>
      <w:r>
        <w:rPr>
          <w:b/>
          <w:sz w:val="28"/>
        </w:rPr>
        <w:t xml:space="preserve">Информация о ходе реализации </w:t>
      </w:r>
    </w:p>
    <w:p>
      <w:pPr>
        <w:pStyle w:val="Normal"/>
        <w:widowControl w:val="false"/>
        <w:spacing w:lineRule="atLeast" w:line="240"/>
        <w:jc w:val="center"/>
        <w:rPr>
          <w:b/>
          <w:b/>
          <w:color w:val="000000"/>
        </w:rPr>
      </w:pPr>
      <w:r>
        <w:rPr>
          <w:b/>
          <w:sz w:val="28"/>
        </w:rPr>
        <w:t xml:space="preserve">Плана мероприятий ("дорожной карты")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– 2020 годы, утвержденного распоряжением Правительства Российской Федерации </w:t>
      </w:r>
      <w:r>
        <w:rPr/>
        <w:br/>
      </w:r>
      <w:r>
        <w:rPr>
          <w:b/>
          <w:sz w:val="28"/>
        </w:rPr>
        <w:t>от 16.08.2018 № 1697-р,</w:t>
      </w:r>
    </w:p>
    <w:p>
      <w:pPr>
        <w:pStyle w:val="Normal"/>
        <w:widowControl w:val="false"/>
        <w:spacing w:lineRule="atLeast" w:line="240"/>
        <w:jc w:val="center"/>
        <w:rPr>
          <w:b/>
          <w:b/>
          <w:color w:val="000000"/>
        </w:rPr>
      </w:pPr>
      <w:r>
        <w:rPr>
          <w:b/>
          <w:color w:val="000000"/>
        </w:rPr>
        <w:t>в части автомобильного транспорта</w:t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center"/>
        <w:outlineLvl w:val="0"/>
        <w:rPr>
          <w:rFonts w:ascii="Arial" w:hAnsi="Arial"/>
          <w:b/>
          <w:b/>
          <w:i w:val="false"/>
          <w:i w:val="false"/>
          <w:strike w:val="false"/>
          <w:dstrike w:val="false"/>
          <w:sz w:val="16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16"/>
          <w:u w:val="none"/>
        </w:rPr>
        <w:t xml:space="preserve">II. План развития конкуренции </w:t>
      </w:r>
    </w:p>
    <w:p>
      <w:pPr>
        <w:pStyle w:val="Normal"/>
        <w:widowControl w:val="false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16"/>
          <w:u w:val="none"/>
        </w:rPr>
      </w:r>
    </w:p>
    <w:tbl>
      <w:tblPr>
        <w:tblStyle w:val="Style_3"/>
        <w:tblW w:w="15138" w:type="dxa"/>
        <w:jc w:val="left"/>
        <w:tblInd w:w="0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4763"/>
        <w:gridCol w:w="1276"/>
        <w:gridCol w:w="3912"/>
        <w:gridCol w:w="1984"/>
        <w:gridCol w:w="2664"/>
      </w:tblGrid>
      <w:tr>
        <w:trPr/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Наименование мероприятия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Вид документа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Ожидаемый результат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Срок реализации </w:t>
            </w:r>
            <w:hyperlink r:id="rId2">
              <w:r>
                <w:rPr>
                  <w:rStyle w:val="ListLabel1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8"/>
                  <w:u w:val="none"/>
                </w:rPr>
                <w:t xml:space="preserve">&lt;1&gt; </w:t>
              </w:r>
            </w:hyperlink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Ответственные исполнители (соисполнители) </w:t>
            </w:r>
          </w:p>
        </w:tc>
      </w:tr>
      <w:tr>
        <w:trPr/>
        <w:tc>
          <w:tcPr>
            <w:tcW w:w="15137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outlineLvl w:val="1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XVII. Транспортные услуги</w:t>
            </w:r>
          </w:p>
        </w:tc>
      </w:tr>
      <w:tr>
        <w:trPr/>
        <w:tc>
          <w:tcPr>
            <w:tcW w:w="15137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outlineLvl w:val="2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Автомобильный транспорт</w:t>
            </w:r>
          </w:p>
        </w:tc>
      </w:tr>
      <w:tr>
        <w:trPr/>
        <w:tc>
          <w:tcPr>
            <w:tcW w:w="53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3.</w:t>
            </w:r>
          </w:p>
        </w:tc>
        <w:tc>
          <w:tcPr>
            <w:tcW w:w="476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Разработка и утверждение типового контракта для закупки уполномоченными органами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приказ Минтранса России</w:t>
            </w:r>
          </w:p>
        </w:tc>
        <w:tc>
          <w:tcPr>
            <w:tcW w:w="391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оптимизация процедур государственных закупок в сфере автомобильного транспорта. Урегулирование порядка проведения государственных (муниципальных) закупок уполномоченными органами исполнительной власти субъектов Российской Федерации и органами местного самоуправления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IV квартал 2018 г.</w:t>
            </w:r>
          </w:p>
        </w:tc>
        <w:tc>
          <w:tcPr>
            <w:tcW w:w="26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Минтранс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Минфин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Минэкономразвития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ФАС России</w:t>
            </w:r>
          </w:p>
        </w:tc>
      </w:tr>
      <w:tr>
        <w:trPr>
          <w:trHeight w:val="1035" w:hRule="atLeast"/>
        </w:trPr>
        <w:tc>
          <w:tcPr>
            <w:tcW w:w="15137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Издан п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риказ Минтранса России от 29 декабря 2018 г. № 482 «Об утверждении типов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ых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 xml:space="preserve"> контракт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ов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 xml:space="preserve">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и информационн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ых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 xml:space="preserve"> карт типов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ых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 xml:space="preserve"> контракт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ов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 xml:space="preserve">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тарифам» 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(з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арегистрирован Минюст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ом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России 22 июля 2019 г.,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регистрационный №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55340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).</w:t>
            </w:r>
          </w:p>
        </w:tc>
      </w:tr>
      <w:tr>
        <w:trPr/>
        <w:tc>
          <w:tcPr>
            <w:tcW w:w="53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4.</w:t>
            </w:r>
          </w:p>
        </w:tc>
        <w:tc>
          <w:tcPr>
            <w:tcW w:w="476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Разработка проекта федерального закона, предусматривающего внесение изменений в </w:t>
            </w:r>
            <w:hyperlink r:id="rId3">
              <w:r>
                <w:rPr>
                  <w:rStyle w:val="ListLabel1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8"/>
                  <w:u w:val="none"/>
                </w:rPr>
                <w:t>статью 34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8"/>
                <w:u w:val="none"/>
              </w:rPr>
              <w:t xml:space="preserve"> Федерального закона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направленных на установление единого перечня обязательных платных услуг в зданиях и на территориях автовокзалов и автостанций, а также формирование правил взимания сборов за их оказание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федеральный закон</w:t>
            </w:r>
          </w:p>
        </w:tc>
        <w:tc>
          <w:tcPr>
            <w:tcW w:w="391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формирование единообразных стандартов и правил поведения на рынке услуг автовокзалов и автостанций, а также формирование единообразного подхода к установлению стоимости таких услуг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2018 год</w:t>
            </w:r>
          </w:p>
        </w:tc>
        <w:tc>
          <w:tcPr>
            <w:tcW w:w="26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Минтранс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Минфин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8"/>
                <w:u w:val="none"/>
              </w:rPr>
              <w:t>Минэкономразвития России</w:t>
            </w:r>
          </w:p>
        </w:tc>
      </w:tr>
      <w:tr>
        <w:trPr>
          <w:trHeight w:val="240" w:hRule="atLeast"/>
        </w:trPr>
        <w:tc>
          <w:tcPr>
            <w:tcW w:w="15137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Arial" w:hAnsi="Arial"/>
                <w:b/>
                <w:b/>
                <w:i w:val="false"/>
                <w:i w:val="false"/>
                <w:strike w:val="false"/>
                <w:dstrike w:val="false"/>
                <w:sz w:val="18"/>
                <w:u w:val="none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 xml:space="preserve">Минтранс России письмом от 6 ноября 2018 г. № ЕД-10/16371 повторно внес в Правительство Российской Федерации доработанный с учетом замечаний Государственно-правового управления Президента Российской Федерации, изложенных в письме от 23.08.2018 № П9-43687, проект федерального закона </w:t>
              <w:br/>
              <w:t xml:space="preserve">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. 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Проект федерального закона распоряжением Правительства Российской Федерации от 22 марта 2019 г. № 497-р внесен в Государственную Думу Федерального Собрания Российской Федерации (законопроект № 674420-7).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18"/>
                <w:u w:val="none"/>
              </w:rPr>
              <w:t>10 июля 2019 г. законопроект № 674420-7принят Государственной Думой Федерального Собрания Российской Федерации в первом чтении.</w:t>
            </w:r>
          </w:p>
        </w:tc>
      </w:tr>
      <w:tr>
        <w:trPr/>
        <w:tc>
          <w:tcPr>
            <w:tcW w:w="53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bookmarkStart w:id="0" w:name="Par42"/>
            <w:bookmarkEnd w:id="0"/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5.</w:t>
            </w:r>
          </w:p>
        </w:tc>
        <w:tc>
          <w:tcPr>
            <w:tcW w:w="476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Принятие ведомственных нормативных правовых актов, направленных на реализацию Федерального </w:t>
            </w:r>
            <w:hyperlink r:id="rId4">
              <w:r>
                <w:rPr>
                  <w:rStyle w:val="ListLabel2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6"/>
                  <w:u w:val="none"/>
                </w:rPr>
                <w:t>закона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приказы Минтранса России</w:t>
            </w:r>
          </w:p>
        </w:tc>
        <w:tc>
          <w:tcPr>
            <w:tcW w:w="391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реализация положений Федерального закона, предусмотренного </w:t>
            </w:r>
            <w:hyperlink w:anchor="Par42">
              <w:r>
                <w:rPr>
                  <w:rStyle w:val="ListLabel2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6"/>
                  <w:u w:val="none"/>
                </w:rPr>
                <w:t>пунктом 5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 настоящего раздела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в течение 6 месяцев с даты вступления в силу Федерального закона, предусмотренного </w:t>
            </w:r>
            <w:hyperlink w:anchor="Par42">
              <w:r>
                <w:rPr>
                  <w:rStyle w:val="ListLabel2"/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16"/>
                  <w:u w:val="none"/>
                </w:rPr>
                <w:t>пунктом 5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16"/>
                <w:u w:val="none"/>
              </w:rPr>
              <w:t xml:space="preserve"> настоящего раздела</w:t>
            </w:r>
          </w:p>
        </w:tc>
        <w:tc>
          <w:tcPr>
            <w:tcW w:w="26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Минтранс России,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ФАС России,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Минфин России,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16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16"/>
                <w:u w:val="none"/>
              </w:rPr>
              <w:t>Минэкономразвития России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5"/>
      <w:headerReference w:type="first" r:id="rId6"/>
      <w:type w:val="nextPage"/>
      <w:pgSz w:w="16838" w:h="11906"/>
      <w:pgMar w:left="851" w:right="851" w:header="709" w:top="1304" w:footer="0" w:bottom="102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tabs>
        <w:tab w:val="clear" w:pos="4153"/>
        <w:tab w:val="clear" w:pos="8306"/>
      </w:tabs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2860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05pt;height:18pt;mso-wrap-distance-left:0pt;mso-wrap-distance-right:0pt;mso-wrap-distance-top:0pt;mso-wrap-distance-bottom:0pt;margin-top:0.05pt;mso-position-vertical-relative:text;margin-left:374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tabs>
        <w:tab w:val="clear" w:pos="4153"/>
        <w:tab w:val="clear" w:pos="8306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 CYR" w:hAnsi="Times New Roman CYR" w:eastAsia="Tahoma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4_ch"/>
    <w:uiPriority w:val="0"/>
    <w:qFormat/>
    <w:pPr>
      <w:widowControl/>
      <w:bidi w:val="0"/>
      <w:spacing w:lineRule="atLeast" w:line="360" w:before="0" w:after="0"/>
      <w:ind w:left="0" w:right="0" w:hanging="0"/>
      <w:jc w:val="both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basedOn w:val="Normal"/>
    <w:link w:val="Style_16_ch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link w:val="Style_30_ch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link w:val="Style_10_ch"/>
    <w:uiPriority w:val="9"/>
    <w:qFormat/>
    <w:pPr>
      <w:widowControl/>
      <w:bidi w:val="0"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link w:val="Style_28_ch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link w:val="Style_15_ch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 w:default="1">
    <w:name w:val="Standard"/>
    <w:link w:val="Style_4"/>
    <w:qFormat/>
    <w:rPr>
      <w:rFonts w:ascii="Times New Roman" w:hAnsi="Times New Roman"/>
      <w:sz w:val="28"/>
    </w:rPr>
  </w:style>
  <w:style w:type="character" w:styleId="Contents2">
    <w:name w:val="Contents 2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ListParagraph">
    <w:name w:val="List Paragraph"/>
    <w:basedOn w:val="Standard"/>
    <w:link w:val="Style_9"/>
    <w:qFormat/>
    <w:rPr/>
  </w:style>
  <w:style w:type="character" w:styleId="Heading3">
    <w:name w:val="Heading 3"/>
    <w:link w:val="Style_10"/>
    <w:qFormat/>
    <w:rPr>
      <w:rFonts w:ascii="XO Thames" w:hAnsi="XO Thames"/>
      <w:b/>
      <w:i/>
      <w:color w:val="000000"/>
    </w:rPr>
  </w:style>
  <w:style w:type="character" w:styleId="Pagenumber">
    <w:name w:val="page number"/>
    <w:basedOn w:val="DefaultParagraphFont"/>
    <w:link w:val="Style_1"/>
    <w:qFormat/>
    <w:rPr/>
  </w:style>
  <w:style w:type="character" w:styleId="Footer">
    <w:name w:val="Footer"/>
    <w:basedOn w:val="Standard"/>
    <w:link w:val="Style_12"/>
    <w:qFormat/>
    <w:rPr/>
  </w:style>
  <w:style w:type="character" w:styleId="Contents3">
    <w:name w:val="Contents 3"/>
    <w:link w:val="Style_13"/>
    <w:qFormat/>
    <w:rPr/>
  </w:style>
  <w:style w:type="character" w:styleId="11pt">
    <w:name w:val="Основной текст + 11 pt"/>
    <w:link w:val="Style_14"/>
    <w:qFormat/>
    <w:rPr>
      <w:rFonts w:ascii="Times New Roman" w:hAnsi="Times New Roman"/>
      <w:color w:val="000000"/>
      <w:spacing w:val="0"/>
      <w:sz w:val="22"/>
      <w:u w:val="none"/>
    </w:rPr>
  </w:style>
  <w:style w:type="character" w:styleId="Heading5">
    <w:name w:val="Heading 5"/>
    <w:link w:val="Style_15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16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7"/>
    <w:rPr>
      <w:color w:val="0000FF"/>
      <w:u w:val="single"/>
    </w:rPr>
  </w:style>
  <w:style w:type="character" w:styleId="Footnote">
    <w:name w:val="Footnote"/>
    <w:link w:val="Style_18"/>
    <w:qFormat/>
    <w:rPr>
      <w:rFonts w:ascii="XO Thames" w:hAnsi="XO Thames"/>
      <w:color w:val="757575"/>
      <w:sz w:val="20"/>
    </w:rPr>
  </w:style>
  <w:style w:type="character" w:styleId="DefaultParagraphFont">
    <w:name w:val="Default Paragraph Font"/>
    <w:link w:val="Style_11"/>
    <w:qFormat/>
    <w:rPr/>
  </w:style>
  <w:style w:type="character" w:styleId="Contents1">
    <w:name w:val="Contents 1"/>
    <w:link w:val="Style_19"/>
    <w:qFormat/>
    <w:rPr>
      <w:rFonts w:ascii="XO Thames" w:hAnsi="XO Thames"/>
      <w:b/>
    </w:rPr>
  </w:style>
  <w:style w:type="character" w:styleId="HeaderandFooter">
    <w:name w:val="Header and Footer"/>
    <w:link w:val="Style_20"/>
    <w:qFormat/>
    <w:rPr>
      <w:rFonts w:ascii="XO Thames" w:hAnsi="XO Thames"/>
      <w:sz w:val="20"/>
    </w:rPr>
  </w:style>
  <w:style w:type="character" w:styleId="Contents9">
    <w:name w:val="Contents 9"/>
    <w:link w:val="Style_21"/>
    <w:qFormat/>
    <w:rPr/>
  </w:style>
  <w:style w:type="character" w:styleId="Contents8">
    <w:name w:val="Contents 8"/>
    <w:link w:val="Style_22"/>
    <w:qFormat/>
    <w:rPr/>
  </w:style>
  <w:style w:type="character" w:styleId="Contents5">
    <w:name w:val="Contents 5"/>
    <w:link w:val="Style_23"/>
    <w:qFormat/>
    <w:rPr/>
  </w:style>
  <w:style w:type="character" w:styleId="BalloonText">
    <w:name w:val="Balloon Text"/>
    <w:basedOn w:val="Standard"/>
    <w:link w:val="Style_24"/>
    <w:qFormat/>
    <w:rPr>
      <w:rFonts w:ascii="Tahoma" w:hAnsi="Tahoma"/>
      <w:sz w:val="16"/>
    </w:rPr>
  </w:style>
  <w:style w:type="character" w:styleId="Header">
    <w:name w:val="Header"/>
    <w:basedOn w:val="Standard"/>
    <w:link w:val="Style_2"/>
    <w:qFormat/>
    <w:rPr/>
  </w:style>
  <w:style w:type="character" w:styleId="Subtitle">
    <w:name w:val="Subtitle"/>
    <w:link w:val="Style_25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26"/>
    <w:qFormat/>
    <w:rPr/>
  </w:style>
  <w:style w:type="character" w:styleId="Title">
    <w:name w:val="Title"/>
    <w:link w:val="Style_27"/>
    <w:qFormat/>
    <w:rPr>
      <w:rFonts w:ascii="XO Thames" w:hAnsi="XO Thames"/>
      <w:b/>
      <w:sz w:val="52"/>
    </w:rPr>
  </w:style>
  <w:style w:type="character" w:styleId="Heading4">
    <w:name w:val="Heading 4"/>
    <w:link w:val="Style_28"/>
    <w:qFormat/>
    <w:rPr>
      <w:rFonts w:ascii="XO Thames" w:hAnsi="XO Thames"/>
      <w:b/>
      <w:color w:val="595959"/>
      <w:sz w:val="26"/>
    </w:rPr>
  </w:style>
  <w:style w:type="character" w:styleId="11">
    <w:name w:val="Основной текст1"/>
    <w:basedOn w:val="Standard"/>
    <w:link w:val="Style_29"/>
    <w:qFormat/>
    <w:rPr>
      <w:sz w:val="18"/>
    </w:rPr>
  </w:style>
  <w:style w:type="character" w:styleId="Heading2">
    <w:name w:val="Heading 2"/>
    <w:link w:val="Style_30"/>
    <w:qFormat/>
    <w:rPr>
      <w:rFonts w:ascii="XO Thames" w:hAnsi="XO Thames"/>
      <w:b/>
      <w:color w:val="00A0FF"/>
      <w:sz w:val="26"/>
    </w:rPr>
  </w:style>
  <w:style w:type="character" w:styleId="ListLabel1">
    <w:name w:val="ListLabel 1"/>
    <w:qFormat/>
    <w:rPr>
      <w:rFonts w:ascii="Arial" w:hAnsi="Arial"/>
      <w:b w:val="false"/>
      <w:i w:val="false"/>
      <w:strike w:val="false"/>
      <w:dstrike w:val="false"/>
      <w:color w:val="000000"/>
      <w:sz w:val="18"/>
      <w:u w:val="none"/>
    </w:rPr>
  </w:style>
  <w:style w:type="character" w:styleId="ListLabel2">
    <w:name w:val="ListLabel 2"/>
    <w:qFormat/>
    <w:rPr>
      <w:rFonts w:ascii="Arial" w:hAnsi="Arial"/>
      <w:b w:val="false"/>
      <w:i w:val="false"/>
      <w:strike w:val="false"/>
      <w:dstrike w:val="false"/>
      <w:color w:val="000000"/>
      <w:sz w:val="16"/>
      <w:u w:val="non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Droid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</w:rPr>
  </w:style>
  <w:style w:type="paragraph" w:styleId="21">
    <w:name w:val="TOC 2"/>
    <w:basedOn w:val="Normal"/>
    <w:link w:val="Style_5_ch"/>
    <w:uiPriority w:val="39"/>
    <w:pPr>
      <w:widowControl/>
      <w:bidi w:val="0"/>
      <w:ind w:left="200" w:right="0" w:hanging="0"/>
      <w:jc w:val="left"/>
    </w:pPr>
    <w:rPr/>
  </w:style>
  <w:style w:type="paragraph" w:styleId="41">
    <w:name w:val="TOC 4"/>
    <w:basedOn w:val="Normal"/>
    <w:link w:val="Style_6_ch"/>
    <w:uiPriority w:val="39"/>
    <w:pPr>
      <w:widowControl/>
      <w:bidi w:val="0"/>
      <w:ind w:left="600" w:right="0" w:hanging="0"/>
      <w:jc w:val="left"/>
    </w:pPr>
    <w:rPr/>
  </w:style>
  <w:style w:type="paragraph" w:styleId="6">
    <w:name w:val="TOC 6"/>
    <w:basedOn w:val="Normal"/>
    <w:link w:val="Style_7_ch"/>
    <w:uiPriority w:val="39"/>
    <w:pPr>
      <w:widowControl/>
      <w:bidi w:val="0"/>
      <w:ind w:left="1000" w:right="0" w:hanging="0"/>
      <w:jc w:val="left"/>
    </w:pPr>
    <w:rPr/>
  </w:style>
  <w:style w:type="paragraph" w:styleId="7">
    <w:name w:val="TOC 7"/>
    <w:basedOn w:val="Normal"/>
    <w:link w:val="Style_8_ch"/>
    <w:uiPriority w:val="39"/>
    <w:pPr>
      <w:widowControl/>
      <w:bidi w:val="0"/>
      <w:ind w:left="1200" w:right="0" w:hanging="0"/>
      <w:jc w:val="left"/>
    </w:pPr>
    <w:rPr/>
  </w:style>
  <w:style w:type="paragraph" w:styleId="ListParagraph1">
    <w:name w:val="List Paragraph"/>
    <w:basedOn w:val="Normal"/>
    <w:link w:val="Style_9_ch"/>
    <w:qFormat/>
    <w:pPr>
      <w:spacing w:lineRule="auto" w:line="240" w:before="0" w:after="0"/>
      <w:ind w:left="720" w:right="0" w:hanging="0"/>
      <w:contextualSpacing/>
      <w:jc w:val="left"/>
    </w:pPr>
    <w:rPr/>
  </w:style>
  <w:style w:type="paragraph" w:styleId="Pagenumber1">
    <w:name w:val="page number"/>
    <w:basedOn w:val="DefaultParagraphFont1"/>
    <w:link w:val="Style_1_ch"/>
    <w:qFormat/>
    <w:pPr/>
    <w:rPr/>
  </w:style>
  <w:style w:type="paragraph" w:styleId="Style15">
    <w:name w:val="Footer"/>
    <w:basedOn w:val="Normal"/>
    <w:link w:val="Style_12_ch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31">
    <w:name w:val="TOC 3"/>
    <w:basedOn w:val="Normal"/>
    <w:link w:val="Style_13_ch"/>
    <w:uiPriority w:val="39"/>
    <w:pPr>
      <w:widowControl/>
      <w:bidi w:val="0"/>
      <w:ind w:left="400" w:right="0" w:hanging="0"/>
      <w:jc w:val="left"/>
    </w:pPr>
    <w:rPr/>
  </w:style>
  <w:style w:type="paragraph" w:styleId="11pt1">
    <w:name w:val="Основной текст + 11 pt"/>
    <w:link w:val="Style_14_ch"/>
    <w:qFormat/>
    <w:pPr>
      <w:widowControl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2"/>
      <w:szCs w:val="20"/>
      <w:u w:val="none"/>
      <w:lang w:val="ru-RU" w:eastAsia="zh-CN" w:bidi="hi-IN"/>
    </w:rPr>
  </w:style>
  <w:style w:type="paragraph" w:styleId="Internetlink">
    <w:name w:val="Internet link"/>
    <w:link w:val="Style_17_ch"/>
    <w:qFormat/>
    <w:pPr>
      <w:widowControl/>
      <w:bidi w:val="0"/>
      <w:jc w:val="left"/>
    </w:pPr>
    <w:rPr>
      <w:rFonts w:ascii="Times New Roman CYR" w:hAnsi="Times New Roman CYR" w:eastAsia="Tahoma" w:cs="Droid Sans Devanagari"/>
      <w:color w:val="0000FF"/>
      <w:spacing w:val="0"/>
      <w:kern w:val="0"/>
      <w:sz w:val="28"/>
      <w:szCs w:val="20"/>
      <w:u w:val="single"/>
      <w:lang w:val="ru-RU" w:eastAsia="zh-CN" w:bidi="hi-IN"/>
    </w:rPr>
  </w:style>
  <w:style w:type="paragraph" w:styleId="Footnote1">
    <w:name w:val="Footnote"/>
    <w:link w:val="Style_18_ch"/>
    <w:qFormat/>
    <w:pPr>
      <w:widowControl/>
      <w:bidi w:val="0"/>
      <w:jc w:val="left"/>
    </w:pPr>
    <w:rPr>
      <w:rFonts w:ascii="XO Thames" w:hAnsi="XO Thames" w:eastAsia="Tahoma" w:cs="Droid Sans Devanagari"/>
      <w:color w:val="757575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Style_11_ch"/>
    <w:qFormat/>
    <w:pPr>
      <w:widowControl/>
      <w:bidi w:val="0"/>
      <w:jc w:val="left"/>
    </w:pPr>
    <w:rPr>
      <w:rFonts w:ascii="Times New Roman CYR" w:hAnsi="Times New Roman CYR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TOC 1"/>
    <w:basedOn w:val="Normal"/>
    <w:link w:val="Style_19_ch"/>
    <w:uiPriority w:val="39"/>
    <w:pPr>
      <w:widowControl/>
      <w:bidi w:val="0"/>
      <w:ind w:left="0" w:right="0" w:hanging="0"/>
      <w:jc w:val="left"/>
    </w:pPr>
    <w:rPr>
      <w:rFonts w:ascii="XO Thames" w:hAnsi="XO Thames"/>
      <w:b/>
    </w:rPr>
  </w:style>
  <w:style w:type="paragraph" w:styleId="HeaderandFooter1">
    <w:name w:val="Header and Footer"/>
    <w:link w:val="Style_20_ch"/>
    <w:qFormat/>
    <w:pPr>
      <w:widowControl/>
      <w:bidi w:val="0"/>
      <w:spacing w:lineRule="auto" w:line="36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basedOn w:val="Normal"/>
    <w:link w:val="Style_21_ch"/>
    <w:uiPriority w:val="39"/>
    <w:pPr>
      <w:widowControl/>
      <w:bidi w:val="0"/>
      <w:ind w:left="1600" w:right="0" w:hanging="0"/>
      <w:jc w:val="left"/>
    </w:pPr>
    <w:rPr/>
  </w:style>
  <w:style w:type="paragraph" w:styleId="8">
    <w:name w:val="TOC 8"/>
    <w:basedOn w:val="Normal"/>
    <w:link w:val="Style_22_ch"/>
    <w:uiPriority w:val="39"/>
    <w:pPr>
      <w:widowControl/>
      <w:bidi w:val="0"/>
      <w:ind w:left="1400" w:right="0" w:hanging="0"/>
      <w:jc w:val="left"/>
    </w:pPr>
    <w:rPr/>
  </w:style>
  <w:style w:type="paragraph" w:styleId="51">
    <w:name w:val="TOC 5"/>
    <w:basedOn w:val="Normal"/>
    <w:link w:val="Style_23_ch"/>
    <w:uiPriority w:val="39"/>
    <w:pPr>
      <w:widowControl/>
      <w:bidi w:val="0"/>
      <w:ind w:left="800" w:right="0" w:hanging="0"/>
      <w:jc w:val="left"/>
    </w:pPr>
    <w:rPr/>
  </w:style>
  <w:style w:type="paragraph" w:styleId="BalloonText1">
    <w:name w:val="Balloon Text"/>
    <w:basedOn w:val="Normal"/>
    <w:link w:val="Style_24_ch"/>
    <w:qFormat/>
    <w:pPr>
      <w:spacing w:lineRule="auto" w:line="240"/>
    </w:pPr>
    <w:rPr>
      <w:rFonts w:ascii="Tahoma" w:hAnsi="Tahoma"/>
      <w:sz w:val="16"/>
    </w:rPr>
  </w:style>
  <w:style w:type="paragraph" w:styleId="Style16">
    <w:name w:val="Header"/>
    <w:basedOn w:val="Normal"/>
    <w:link w:val="Style_2_ch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7">
    <w:name w:val="Subtitle"/>
    <w:basedOn w:val="Normal"/>
    <w:link w:val="Style_25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Toc101">
    <w:name w:val="toc 10"/>
    <w:link w:val="Style_26_ch"/>
    <w:uiPriority w:val="39"/>
    <w:qFormat/>
    <w:pPr>
      <w:widowControl/>
      <w:bidi w:val="0"/>
      <w:ind w:left="1800" w:hanging="0"/>
      <w:jc w:val="left"/>
    </w:pPr>
    <w:rPr>
      <w:rFonts w:ascii="Times New Roman CYR" w:hAnsi="Times New Roman CYR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Title"/>
    <w:basedOn w:val="Normal"/>
    <w:link w:val="Style_27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13">
    <w:name w:val="Основной текст1"/>
    <w:basedOn w:val="Normal"/>
    <w:link w:val="Style_29_ch"/>
    <w:qFormat/>
    <w:pPr>
      <w:widowControl w:val="false"/>
      <w:spacing w:lineRule="exact" w:line="216" w:before="0" w:after="360"/>
      <w:ind w:left="0" w:right="0" w:hanging="280"/>
    </w:pPr>
    <w:rPr>
      <w:sz w:val="18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styleId="Style_31">
    <w:name w:val="Table Grid"/>
    <w:basedOn w:val="Style_3"/>
    <w:rPr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2">
    <w:name w:val="Сетка таблицы1"/>
    <w:basedOn w:val="Style_3"/>
    <w:rPr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7152473FBAEC7A895B07B9C390D1BDBD73094A26941FCD52DD08A650B570F70F1C7394C9148B0B2A7CDEEE48F639D48E90B67A109CEF66Cd4K5P" TargetMode="External"/><Relationship Id="rId3" Type="http://schemas.openxmlformats.org/officeDocument/2006/relationships/hyperlink" Target="consultantplus://offline/ref=D4743701ADB5EDA333D710C6AE0116B45D6FC6813D5E01FF0945373B85C07C86A557B4E42EF8CFD1358D23AFA4B8CD1BD6FF5B4F12E7731756H7P" TargetMode="External"/><Relationship Id="rId4" Type="http://schemas.openxmlformats.org/officeDocument/2006/relationships/hyperlink" Target="consultantplus://offline/ref=D4743701ADB5EDA333D710C6AE0116B45D6FC6813D5E01FF0945373B85C07C86B757ECE82EFED2D5349875FEE15EH5P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LibreOffice/6.1.5.2$Linux_X86_64 LibreOffice_project/10$Build-2</Application>
  <Pages>2</Pages>
  <Words>493</Words>
  <Characters>3643</Characters>
  <CharactersWithSpaces>4105</CharactersWithSpaces>
  <Paragraphs>42</Paragraphs>
  <Company>КонсультантПлюс Версия 4017.00.99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2019-08-19T18:28:00Z</dcterms:created>
  <dc:creator/>
  <dc:description/>
  <dc:language>ru-RU</dc:language>
  <cp:lastModifiedBy/>
  <dcterms:modified xsi:type="dcterms:W3CDTF">2019-08-19T18:34:19Z</dcterms:modified>
  <cp:revision>3</cp:revision>
  <dc:subject/>
  <dc:title>Приказ Минтранса России от 29.12.2018 N 482"Об утверждении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и информационных карт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тарифам"(Зарегистрировано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4017.00.99</vt:lpwstr>
  </property>
  <property fmtid="{D5CDD505-2E9C-101B-9397-08002B2CF9AE}" pid="3" name="DocSecurity">
    <vt:i4>0</vt:i4>
  </property>
  <property fmtid="{D5CDD505-2E9C-101B-9397-08002B2CF9AE}" pid="4" name="ScaleCrop">
    <vt:bool>0</vt:bool>
  </property>
</Properties>
</file>