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</w:tcPr>
          <w:p w14:paraId="04000000">
            <w:pPr>
              <w:spacing w:before="200"/>
              <w:ind/>
            </w:pPr>
          </w:p>
        </w:tc>
        <w:tc>
          <w:tcPr>
            <w:tcW w:type="dxa" w:w="3475"/>
          </w:tcPr>
          <w:p w14:paraId="05000000">
            <w:pPr>
              <w:spacing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tcFitText w:val="1"/>
          </w:tcPr>
          <w:p w14:paraId="06000000">
            <w:pPr>
              <w:spacing w:before="200"/>
              <w:ind/>
            </w:pPr>
          </w:p>
        </w:tc>
      </w:tr>
    </w:tbl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признании </w:t>
      </w:r>
      <w:r>
        <w:rPr>
          <w:b w:val="1"/>
          <w:sz w:val="28"/>
        </w:rPr>
        <w:t>не подлежащим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>актов</w:t>
      </w:r>
      <w:r>
        <w:rPr>
          <w:b w:val="1"/>
          <w:sz w:val="28"/>
        </w:rPr>
        <w:t xml:space="preserve"> Министерства путей сообщения </w:t>
      </w:r>
      <w:r>
        <w:rPr>
          <w:b w:val="1"/>
          <w:sz w:val="28"/>
        </w:rPr>
        <w:t>СССР</w:t>
      </w:r>
      <w:r>
        <w:rPr>
          <w:b w:val="1"/>
          <w:sz w:val="28"/>
        </w:rPr>
        <w:t xml:space="preserve"> и 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Министерства путей сообщения Российской Федерации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B000000">
      <w:pPr>
        <w:pStyle w:val="Style_3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приведения нормативных актов в соответствие с законодательством </w:t>
      </w:r>
      <w:r>
        <w:rPr>
          <w:rFonts w:ascii="Times New Roman" w:hAnsi="Times New Roman"/>
          <w:sz w:val="28"/>
        </w:rPr>
        <w:t xml:space="preserve">Российской Федерации </w:t>
      </w:r>
      <w:r>
        <w:rPr>
          <w:rFonts w:ascii="Times New Roman" w:hAnsi="Times New Roman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0C000000">
      <w:pPr>
        <w:pStyle w:val="Style_3"/>
        <w:ind w:firstLine="709" w:left="0"/>
        <w:jc w:val="both"/>
        <w:outlineLvl w:val="0"/>
        <w:rPr>
          <w:rFonts w:ascii="Times New Roman" w:hAnsi="Times New Roman"/>
          <w:sz w:val="28"/>
        </w:rPr>
      </w:pPr>
    </w:p>
    <w:p w14:paraId="0D000000">
      <w:pPr>
        <w:pStyle w:val="Style_3"/>
        <w:ind w:firstLine="709" w:left="0"/>
        <w:jc w:val="both"/>
        <w:outlineLvl w:val="0"/>
        <w:rPr>
          <w:rFonts w:ascii="Times New Roman" w:hAnsi="Times New Roman"/>
          <w:sz w:val="28"/>
        </w:rPr>
      </w:pPr>
    </w:p>
    <w:p w14:paraId="0E000000">
      <w:pPr>
        <w:pStyle w:val="Style_3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Признать не подлежащими применению на территории Российской Федерации акты Министерства путей сообщения СССР (приложение № 1 к настоящему приказу).</w:t>
      </w:r>
    </w:p>
    <w:p w14:paraId="0F000000">
      <w:pPr>
        <w:pStyle w:val="Style_3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не подлежащими применению акты Министерства путей </w:t>
      </w:r>
      <w:r>
        <w:rPr>
          <w:rFonts w:ascii="Times New Roman" w:hAnsi="Times New Roman"/>
          <w:sz w:val="28"/>
        </w:rPr>
        <w:t xml:space="preserve">сообщения Российской Федерации </w:t>
      </w:r>
      <w:r>
        <w:rPr>
          <w:rFonts w:ascii="Times New Roman" w:hAnsi="Times New Roman"/>
          <w:sz w:val="28"/>
        </w:rPr>
        <w:t>(приложение № 2 к настоящему приказу)</w:t>
      </w:r>
      <w:r>
        <w:rPr>
          <w:rFonts w:ascii="Times New Roman" w:hAnsi="Times New Roman"/>
          <w:sz w:val="28"/>
        </w:rPr>
        <w:t>.</w:t>
      </w:r>
    </w:p>
    <w:p w14:paraId="10000000">
      <w:pPr>
        <w:ind w:right="8"/>
        <w:jc w:val="both"/>
        <w:rPr>
          <w:sz w:val="28"/>
        </w:rPr>
      </w:pPr>
    </w:p>
    <w:p w14:paraId="11000000">
      <w:pPr>
        <w:ind w:right="8"/>
        <w:jc w:val="both"/>
        <w:rPr>
          <w:sz w:val="28"/>
        </w:rPr>
      </w:pPr>
    </w:p>
    <w:p w14:paraId="12000000">
      <w:pPr>
        <w:ind w:right="8"/>
        <w:jc w:val="both"/>
        <w:rPr>
          <w:sz w:val="28"/>
        </w:rPr>
      </w:pPr>
    </w:p>
    <w:p w14:paraId="13000000">
      <w:pPr>
        <w:ind w:right="-60"/>
        <w:jc w:val="both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  </w:t>
      </w:r>
      <w:r>
        <w:rPr>
          <w:sz w:val="28"/>
        </w:rPr>
        <w:t xml:space="preserve">    </w:t>
      </w:r>
      <w:r>
        <w:rPr>
          <w:sz w:val="28"/>
        </w:rPr>
        <w:t>Е.И. Дитрих</w:t>
      </w:r>
    </w:p>
    <w:p w14:paraId="14000000">
      <w:pPr>
        <w:ind w:right="-232"/>
        <w:jc w:val="both"/>
        <w:rPr>
          <w:sz w:val="28"/>
        </w:rPr>
      </w:pPr>
    </w:p>
    <w:p w14:paraId="15000000">
      <w:pPr>
        <w:ind w:right="-232"/>
        <w:jc w:val="both"/>
        <w:rPr>
          <w:sz w:val="28"/>
        </w:rPr>
      </w:pPr>
    </w:p>
    <w:p w14:paraId="16000000">
      <w:pPr>
        <w:ind w:right="-232"/>
        <w:jc w:val="both"/>
        <w:rPr>
          <w:sz w:val="28"/>
        </w:rPr>
      </w:pPr>
    </w:p>
    <w:p w14:paraId="17000000">
      <w:pPr>
        <w:ind w:right="-232"/>
        <w:jc w:val="both"/>
        <w:rPr>
          <w:sz w:val="28"/>
        </w:rPr>
      </w:pPr>
    </w:p>
    <w:p w14:paraId="18000000">
      <w:pPr>
        <w:ind w:right="-232"/>
        <w:jc w:val="both"/>
        <w:rPr>
          <w:sz w:val="28"/>
        </w:rPr>
      </w:pPr>
    </w:p>
    <w:p w14:paraId="19000000">
      <w:pPr>
        <w:ind w:right="-232"/>
        <w:jc w:val="both"/>
        <w:rPr>
          <w:sz w:val="28"/>
        </w:rPr>
      </w:pPr>
    </w:p>
    <w:p w14:paraId="1A000000">
      <w:pPr>
        <w:ind w:right="-232"/>
        <w:jc w:val="both"/>
        <w:rPr>
          <w:sz w:val="28"/>
        </w:rPr>
      </w:pPr>
    </w:p>
    <w:p w14:paraId="1B000000">
      <w:pPr>
        <w:ind w:right="-232"/>
        <w:jc w:val="both"/>
        <w:rPr>
          <w:sz w:val="28"/>
        </w:rPr>
      </w:pPr>
    </w:p>
    <w:p w14:paraId="1C000000">
      <w:pPr>
        <w:ind w:right="-232"/>
        <w:jc w:val="both"/>
        <w:rPr>
          <w:sz w:val="28"/>
        </w:rPr>
      </w:pPr>
    </w:p>
    <w:p w14:paraId="1D000000">
      <w:pPr>
        <w:ind w:right="-232"/>
        <w:jc w:val="both"/>
        <w:rPr>
          <w:sz w:val="28"/>
        </w:rPr>
      </w:pPr>
    </w:p>
    <w:p w14:paraId="1E000000">
      <w:pPr>
        <w:ind/>
        <w:jc w:val="both"/>
        <w:rPr>
          <w:sz w:val="20"/>
        </w:rPr>
      </w:pPr>
    </w:p>
    <w:p w14:paraId="1F000000">
      <w:pPr>
        <w:ind/>
        <w:jc w:val="both"/>
        <w:rPr>
          <w:sz w:val="20"/>
        </w:rPr>
      </w:pPr>
    </w:p>
    <w:p w14:paraId="20000000">
      <w:pPr>
        <w:ind/>
        <w:jc w:val="both"/>
        <w:rPr>
          <w:sz w:val="20"/>
        </w:rPr>
      </w:pPr>
    </w:p>
    <w:p w14:paraId="21000000">
      <w:pPr>
        <w:ind/>
        <w:jc w:val="both"/>
        <w:rPr>
          <w:sz w:val="20"/>
        </w:rPr>
      </w:pPr>
    </w:p>
    <w:p w14:paraId="22000000">
      <w:pPr>
        <w:ind/>
        <w:jc w:val="both"/>
        <w:rPr>
          <w:sz w:val="20"/>
        </w:rPr>
      </w:pPr>
    </w:p>
    <w:p w14:paraId="23000000">
      <w:pPr>
        <w:ind/>
        <w:jc w:val="both"/>
        <w:rPr>
          <w:sz w:val="20"/>
        </w:rPr>
      </w:pPr>
    </w:p>
    <w:p w14:paraId="24000000">
      <w:pPr>
        <w:ind/>
        <w:jc w:val="both"/>
        <w:rPr>
          <w:sz w:val="20"/>
        </w:rPr>
      </w:pPr>
    </w:p>
    <w:p w14:paraId="25000000">
      <w:pPr>
        <w:spacing w:before="120"/>
        <w:ind/>
        <w:jc w:val="both"/>
        <w:rPr>
          <w:sz w:val="20"/>
        </w:rPr>
      </w:pPr>
      <w:r>
        <w:rPr>
          <w:sz w:val="20"/>
        </w:rPr>
        <w:t>Ананенко Андрей Олегович</w:t>
      </w:r>
    </w:p>
    <w:p w14:paraId="26000000">
      <w:pPr>
        <w:ind/>
        <w:jc w:val="both"/>
        <w:rPr>
          <w:sz w:val="20"/>
        </w:rPr>
      </w:pPr>
      <w:r>
        <w:rPr>
          <w:sz w:val="20"/>
        </w:rPr>
        <w:t>8(499) 495 16 03</w:t>
      </w:r>
    </w:p>
    <w:p w14:paraId="27000000">
      <w:pPr>
        <w:ind/>
        <w:jc w:val="both"/>
        <w:rPr>
          <w:sz w:val="18"/>
        </w:rPr>
      </w:pPr>
    </w:p>
    <w:sectPr>
      <w:pgSz w:h="16834" w:w="11909"/>
      <w:pgMar w:bottom="651" w:footer="720" w:gutter="0" w:header="720" w:left="1134" w:right="629" w:top="97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Balloon Text"/>
    <w:basedOn w:val="Style_4"/>
    <w:link w:val="Style_10_ch"/>
    <w:rPr>
      <w:rFonts w:ascii="Segoe UI" w:hAnsi="Segoe UI"/>
      <w:sz w:val="18"/>
    </w:rPr>
  </w:style>
  <w:style w:styleId="Style_10_ch" w:type="character">
    <w:name w:val="Balloon Text"/>
    <w:basedOn w:val="Style_4_ch"/>
    <w:link w:val="Style_10"/>
    <w:rPr>
      <w:rFonts w:ascii="Segoe UI" w:hAnsi="Segoe UI"/>
      <w:sz w:val="18"/>
    </w:rPr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2" w:type="paragraph">
    <w:name w:val="heading 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rPr>
      <w:rFonts w:ascii="XO Thames" w:hAnsi="XO Thames"/>
      <w:color w:val="757575"/>
      <w:sz w:val="20"/>
    </w:rPr>
  </w:style>
  <w:style w:styleId="Style_14_ch" w:type="character">
    <w:name w:val="Footnote"/>
    <w:link w:val="Style_14"/>
    <w:rPr>
      <w:rFonts w:ascii="XO Thames" w:hAnsi="XO Thames"/>
      <w:color w:val="757575"/>
      <w:sz w:val="20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"/>
    <w:basedOn w:val="Style_4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header"/>
    <w:basedOn w:val="Style_4_ch"/>
    <w:link w:val="Style_16"/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page number"/>
    <w:basedOn w:val="Style_19"/>
    <w:link w:val="Style_18_ch"/>
  </w:style>
  <w:style w:styleId="Style_18_ch" w:type="character">
    <w:name w:val="page number"/>
    <w:basedOn w:val="Style_19_ch"/>
    <w:link w:val="Style_18"/>
  </w:style>
  <w:style w:styleId="Style_20" w:type="paragraph">
    <w:name w:val="toc 9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