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</w:t>
      </w:r>
      <w:r>
        <w:rPr>
          <w:b w:val="1"/>
          <w:sz w:val="28"/>
        </w:rPr>
        <w:t>им</w:t>
      </w:r>
      <w:r>
        <w:rPr>
          <w:b w:val="1"/>
          <w:sz w:val="28"/>
        </w:rPr>
        <w:t xml:space="preserve"> применению </w:t>
      </w:r>
      <w:r>
        <w:rPr>
          <w:b w:val="1"/>
          <w:sz w:val="28"/>
        </w:rPr>
        <w:t>Классификатора нарушений безопасности перевозок опасных грузов на железных дорогах</w:t>
      </w:r>
      <w:r>
        <w:rPr>
          <w:b w:val="1"/>
          <w:sz w:val="28"/>
        </w:rPr>
        <w:t>, утвержденн</w:t>
      </w:r>
      <w:r>
        <w:rPr>
          <w:b w:val="1"/>
          <w:sz w:val="28"/>
        </w:rPr>
        <w:t>о</w:t>
      </w:r>
      <w:r>
        <w:rPr>
          <w:b w:val="1"/>
          <w:sz w:val="28"/>
        </w:rPr>
        <w:t>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руководителем Департамента безопасности движения и экологии Министерства путей сообщения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Российской Федерации </w:t>
      </w:r>
      <w:r>
        <w:rPr>
          <w:b w:val="1"/>
          <w:sz w:val="28"/>
        </w:rPr>
        <w:t>П.С. Шанайц</w:t>
      </w:r>
      <w:r>
        <w:rPr>
          <w:b w:val="1"/>
          <w:sz w:val="28"/>
        </w:rPr>
        <w:t>ем</w:t>
      </w:r>
      <w:r>
        <w:rPr>
          <w:b w:val="1"/>
          <w:sz w:val="28"/>
        </w:rPr>
        <w:t xml:space="preserve">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28 мая 1999 г.</w:t>
      </w:r>
      <w:r>
        <w:rPr>
          <w:b w:val="1"/>
          <w:sz w:val="28"/>
        </w:rPr>
        <w:t xml:space="preserve"> 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3"/>
        <w:ind w:firstLine="624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нарушениями порядка принятия (утверждения) нормативных актов Министерства путей сообщения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624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не подлежащ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применению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Классификатор нарушений безопасности перевозок опасных грузов на железных дорогах, утвержденн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руководителем Департамента безопасности движения и экологии Министерства путей сообщения  Российской Федерации П.С. Шанайц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28 мая 1999 г.</w:t>
      </w:r>
    </w:p>
    <w:p w14:paraId="0F000000">
      <w:pPr>
        <w:ind w:right="8"/>
        <w:jc w:val="both"/>
        <w:rPr>
          <w:sz w:val="28"/>
        </w:rPr>
      </w:pPr>
    </w:p>
    <w:p w14:paraId="10000000">
      <w:pPr>
        <w:ind w:right="8"/>
        <w:jc w:val="both"/>
        <w:rPr>
          <w:sz w:val="28"/>
        </w:rPr>
      </w:pPr>
    </w:p>
    <w:p w14:paraId="11000000">
      <w:pPr>
        <w:ind w:right="8"/>
        <w:jc w:val="both"/>
        <w:rPr>
          <w:sz w:val="28"/>
        </w:rPr>
      </w:pPr>
    </w:p>
    <w:p w14:paraId="12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Е.И. Дитрих</w:t>
      </w:r>
    </w:p>
    <w:p w14:paraId="13000000">
      <w:pPr>
        <w:ind w:right="-232"/>
        <w:jc w:val="both"/>
        <w:rPr>
          <w:sz w:val="28"/>
        </w:rPr>
      </w:pPr>
    </w:p>
    <w:p w14:paraId="14000000">
      <w:pPr>
        <w:ind w:right="-232"/>
        <w:jc w:val="both"/>
        <w:rPr>
          <w:sz w:val="28"/>
        </w:rPr>
      </w:pP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/>
        <w:jc w:val="both"/>
        <w:rPr>
          <w:sz w:val="20"/>
        </w:rPr>
      </w:pPr>
    </w:p>
    <w:p w14:paraId="1B000000">
      <w:pPr>
        <w:ind/>
        <w:jc w:val="both"/>
        <w:rPr>
          <w:sz w:val="20"/>
        </w:rPr>
      </w:pPr>
    </w:p>
    <w:p w14:paraId="1C000000">
      <w:pPr>
        <w:ind/>
        <w:jc w:val="both"/>
        <w:rPr>
          <w:sz w:val="20"/>
        </w:rPr>
      </w:pPr>
    </w:p>
    <w:p w14:paraId="1D000000">
      <w:pPr>
        <w:ind/>
        <w:jc w:val="both"/>
        <w:rPr>
          <w:sz w:val="20"/>
        </w:rPr>
      </w:pPr>
    </w:p>
    <w:p w14:paraId="1E000000">
      <w:pPr>
        <w:ind/>
        <w:jc w:val="both"/>
        <w:rPr>
          <w:sz w:val="20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  <w:r>
        <w:rPr>
          <w:sz w:val="20"/>
        </w:rPr>
        <w:t>Ананенко Андрей Олего</w:t>
      </w:r>
      <w:r>
        <w:rPr>
          <w:sz w:val="20"/>
        </w:rPr>
        <w:t>вич</w:t>
      </w:r>
    </w:p>
    <w:p w14:paraId="24000000">
      <w:pPr>
        <w:ind/>
        <w:jc w:val="both"/>
        <w:rPr>
          <w:sz w:val="20"/>
        </w:rPr>
      </w:pPr>
      <w:r>
        <w:rPr>
          <w:sz w:val="20"/>
        </w:rPr>
        <w:t>8(499) 495 16 03</w:t>
      </w:r>
      <w:r>
        <w:rPr>
          <w:sz w:val="20"/>
        </w:rPr>
        <w:t xml:space="preserve"> </w:t>
      </w:r>
    </w:p>
    <w:p w14:paraId="25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rFonts w:ascii="XO Thames" w:hAnsi="XO Thames"/>
      <w:color w:val="757575"/>
      <w:sz w:val="20"/>
    </w:rPr>
  </w:style>
  <w:style w:styleId="Style_13_ch" w:type="character">
    <w:name w:val="Footnote"/>
    <w:link w:val="Style_13"/>
    <w:rPr>
      <w:rFonts w:ascii="XO Thames" w:hAnsi="XO Thames"/>
      <w:color w:val="757575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Balloon Text"/>
    <w:basedOn w:val="Style_4"/>
    <w:link w:val="Style_17_ch"/>
    <w:rPr>
      <w:rFonts w:ascii="Segoe UI" w:hAnsi="Segoe UI"/>
      <w:sz w:val="18"/>
    </w:rPr>
  </w:style>
  <w:style w:styleId="Style_17_ch" w:type="character">
    <w:name w:val="Balloon Text"/>
    <w:basedOn w:val="Style_4_ch"/>
    <w:link w:val="Style_17"/>
    <w:rPr>
      <w:rFonts w:ascii="Segoe UI" w:hAnsi="Segoe UI"/>
      <w:sz w:val="18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page number"/>
    <w:basedOn w:val="Style_14"/>
    <w:link w:val="Style_25_ch"/>
  </w:style>
  <w:style w:styleId="Style_25_ch" w:type="character">
    <w:name w:val="page number"/>
    <w:basedOn w:val="Style_14_ch"/>
    <w:link w:val="Style_25"/>
  </w:style>
  <w:style w:styleId="Style_26" w:type="paragraph">
    <w:name w:val="header"/>
    <w:basedOn w:val="Style_4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4_ch"/>
    <w:link w:val="Style_26"/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