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pic="http://schemas.openxmlformats.org/drawingml/2006/picture" xmlns:r="http://schemas.openxmlformats.org/officeDocument/2006/relationships" xmlns:w14="http://schemas.microsoft.com/office/word/2010/wordml" xmlns:wp="http://schemas.openxmlformats.org/drawingml/2006/wordprocessingDrawing" mc:Ignorable="w14">
  <w:body>
    <w:tbl>
      <w:tblPr>
        <w:tblStyle w:val="Style_1"/>
      </w:tblPr>
      <w:tblGrid>
        <w:gridCol w:w="3474"/>
        <w:gridCol w:w="3475"/>
        <w:gridCol w:w="3475"/>
      </w:tblGrid>
      <w:tr>
        <w:trPr>
          <w:trHeight w:hRule="exact" w:val="964"/>
        </w:trPr>
        <w:tc>
          <w:tcPr>
            <w:tcW w:type="dxa" w:w="10424"/>
            <w:gridSpan w:val="3"/>
          </w:tcPr>
          <w:p w14:paraId="01000000">
            <w:pPr>
              <w:ind/>
              <w:jc w:val="center"/>
            </w:pPr>
          </w:p>
        </w:tc>
      </w:tr>
      <w:tr>
        <w:trPr>
          <w:trHeight w:hRule="exact" w:val="1134"/>
        </w:trPr>
        <w:tc>
          <w:tcPr>
            <w:tcW w:type="dxa" w:w="10424"/>
            <w:gridSpan w:val="3"/>
            <w:vAlign w:val="center"/>
          </w:tcPr>
          <w:p w14:paraId="02000000">
            <w:pPr>
              <w:ind/>
              <w:jc w:val="center"/>
            </w:pPr>
          </w:p>
        </w:tc>
      </w:tr>
      <w:tr>
        <w:trPr>
          <w:trHeight w:hRule="exact" w:val="567"/>
        </w:trPr>
        <w:tc>
          <w:tcPr>
            <w:tcW w:type="dxa" w:w="10424"/>
            <w:gridSpan w:val="3"/>
          </w:tcPr>
          <w:p w14:paraId="03000000">
            <w:pPr>
              <w:pStyle w:val="Style_2"/>
              <w:rPr>
                <w:spacing w:val="80"/>
              </w:rPr>
            </w:pPr>
          </w:p>
        </w:tc>
      </w:tr>
      <w:tr>
        <w:trPr>
          <w:trHeight w:hRule="atLeast" w:val="1021"/>
        </w:trPr>
        <w:tc>
          <w:tcPr>
            <w:tcW w:type="dxa" w:w="3474"/>
          </w:tcPr>
          <w:p w14:paraId="04000000">
            <w:pPr>
              <w:spacing w:before="200"/>
              <w:ind/>
            </w:pPr>
          </w:p>
        </w:tc>
        <w:tc>
          <w:tcPr>
            <w:tcW w:type="dxa" w:w="3475"/>
          </w:tcPr>
          <w:p w14:paraId="05000000">
            <w:pPr>
              <w:spacing w:before="200"/>
              <w:ind/>
              <w:jc w:val="center"/>
              <w:rPr>
                <w:sz w:val="28"/>
              </w:rPr>
            </w:pPr>
          </w:p>
        </w:tc>
        <w:tc>
          <w:tcPr>
            <w:tcW w:type="dxa" w:w="3475"/>
            <w:tcFitText w:val="1"/>
          </w:tcPr>
          <w:p w14:paraId="06000000">
            <w:pPr>
              <w:spacing w:before="200"/>
              <w:ind/>
            </w:pPr>
          </w:p>
        </w:tc>
      </w:tr>
    </w:tbl>
    <w:p w14:paraId="07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О признании </w:t>
      </w:r>
      <w:r>
        <w:rPr>
          <w:b w:val="1"/>
          <w:sz w:val="28"/>
        </w:rPr>
        <w:t>не подлежащим</w:t>
      </w:r>
      <w:r>
        <w:rPr>
          <w:b w:val="1"/>
          <w:sz w:val="28"/>
        </w:rPr>
        <w:t>и</w:t>
      </w:r>
      <w:r>
        <w:rPr>
          <w:b w:val="1"/>
          <w:sz w:val="28"/>
        </w:rPr>
        <w:t xml:space="preserve"> применению</w:t>
      </w:r>
      <w:r>
        <w:rPr>
          <w:b w:val="1"/>
          <w:sz w:val="28"/>
        </w:rPr>
        <w:br/>
      </w:r>
      <w:r>
        <w:rPr>
          <w:b w:val="1"/>
          <w:sz w:val="28"/>
        </w:rPr>
        <w:t>актов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 xml:space="preserve">Министерства путей сообщения </w:t>
      </w:r>
      <w:r>
        <w:rPr>
          <w:b w:val="1"/>
          <w:sz w:val="28"/>
        </w:rPr>
        <w:t xml:space="preserve">СССР и </w:t>
      </w:r>
    </w:p>
    <w:p w14:paraId="08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Министерства путей сообщения </w:t>
      </w:r>
      <w:r>
        <w:rPr>
          <w:b w:val="1"/>
          <w:sz w:val="28"/>
        </w:rPr>
        <w:t>Российской Федерации</w:t>
      </w:r>
    </w:p>
    <w:p w14:paraId="09000000">
      <w:pPr>
        <w:ind/>
        <w:jc w:val="center"/>
        <w:rPr>
          <w:b w:val="1"/>
          <w:sz w:val="28"/>
        </w:rPr>
      </w:pPr>
    </w:p>
    <w:p w14:paraId="0A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</w:p>
    <w:p w14:paraId="0B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связи с выявленными нарушениями порядка принятия (утверждения) нормативны</w:t>
      </w:r>
      <w:r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 xml:space="preserve"> актов </w:t>
      </w:r>
      <w:r>
        <w:rPr>
          <w:rFonts w:ascii="Times New Roman" w:hAnsi="Times New Roman"/>
          <w:sz w:val="28"/>
        </w:rPr>
        <w:t xml:space="preserve">Министерства путей сообщения СССР и </w:t>
      </w:r>
      <w:r>
        <w:rPr>
          <w:rFonts w:ascii="Times New Roman" w:hAnsi="Times New Roman"/>
          <w:sz w:val="28"/>
        </w:rPr>
        <w:t>Министерства путей сообщения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Российской Федерации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 р и к а з ы в а ю</w:t>
      </w:r>
      <w:r>
        <w:rPr>
          <w:rFonts w:ascii="Times New Roman" w:hAnsi="Times New Roman"/>
          <w:sz w:val="28"/>
        </w:rPr>
        <w:t>:</w:t>
      </w:r>
    </w:p>
    <w:p w14:paraId="0C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</w:p>
    <w:p w14:paraId="0D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</w:p>
    <w:p w14:paraId="0E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</w:t>
      </w:r>
      <w:r>
        <w:rPr>
          <w:rFonts w:ascii="Times New Roman" w:hAnsi="Times New Roman"/>
          <w:sz w:val="28"/>
        </w:rPr>
        <w:t>Признать не подлежащими применению на территории Российской Федерации акты Министерства путей сообщения СССР согласно к приложени</w:t>
      </w:r>
      <w:r>
        <w:rPr>
          <w:rFonts w:ascii="Times New Roman" w:hAnsi="Times New Roman"/>
          <w:sz w:val="28"/>
        </w:rPr>
        <w:t xml:space="preserve">ю </w:t>
      </w:r>
      <w:r>
        <w:rPr>
          <w:rFonts w:ascii="Times New Roman" w:hAnsi="Times New Roman"/>
          <w:sz w:val="28"/>
        </w:rPr>
        <w:t xml:space="preserve"> к настоящему приказу.</w:t>
      </w:r>
    </w:p>
    <w:p w14:paraId="0F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 xml:space="preserve">Признать не подлежащими применению </w:t>
      </w:r>
      <w:r>
        <w:rPr>
          <w:rFonts w:ascii="Times New Roman" w:hAnsi="Times New Roman"/>
          <w:sz w:val="28"/>
        </w:rPr>
        <w:t>Инструктивные указания о порядке составления отчета ф. АГО-2 «О наличии основных технических устройств локомотивного депо», утвержденные заместителем руководителя Департамента локомотивного хозяйства Министерства путей сооб</w:t>
      </w:r>
      <w:r>
        <w:rPr>
          <w:rFonts w:ascii="Times New Roman" w:hAnsi="Times New Roman"/>
          <w:sz w:val="28"/>
        </w:rPr>
        <w:t>щения Российской Федерации И.В. </w:t>
      </w:r>
      <w:r>
        <w:rPr>
          <w:rFonts w:ascii="Times New Roman" w:hAnsi="Times New Roman"/>
          <w:sz w:val="28"/>
        </w:rPr>
        <w:t>Дорофеевым и заместителем начальника Управления статистики Министерства путей сооб</w:t>
      </w:r>
      <w:r>
        <w:rPr>
          <w:rFonts w:ascii="Times New Roman" w:hAnsi="Times New Roman"/>
          <w:sz w:val="28"/>
        </w:rPr>
        <w:t>щения Российской Федерации В.П. </w:t>
      </w:r>
      <w:r>
        <w:rPr>
          <w:rFonts w:ascii="Times New Roman" w:hAnsi="Times New Roman"/>
          <w:sz w:val="28"/>
        </w:rPr>
        <w:t xml:space="preserve">Павловым </w:t>
      </w:r>
      <w:r>
        <w:br/>
      </w:r>
      <w:r>
        <w:rPr>
          <w:rFonts w:ascii="Times New Roman" w:hAnsi="Times New Roman"/>
          <w:sz w:val="28"/>
        </w:rPr>
        <w:t>27 марта 1998 г. № ЦЧУЛ-67</w:t>
      </w:r>
      <w:r>
        <w:rPr>
          <w:rFonts w:ascii="Times New Roman" w:hAnsi="Times New Roman"/>
          <w:sz w:val="28"/>
        </w:rPr>
        <w:t>.</w:t>
      </w:r>
    </w:p>
    <w:p w14:paraId="10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</w:p>
    <w:p w14:paraId="11000000">
      <w:pPr>
        <w:ind w:right="8"/>
        <w:jc w:val="both"/>
        <w:rPr>
          <w:sz w:val="28"/>
        </w:rPr>
      </w:pPr>
    </w:p>
    <w:p w14:paraId="12000000">
      <w:pPr>
        <w:ind w:right="8"/>
        <w:jc w:val="both"/>
        <w:rPr>
          <w:sz w:val="28"/>
        </w:rPr>
      </w:pPr>
    </w:p>
    <w:p w14:paraId="13000000">
      <w:pPr>
        <w:ind w:right="-60"/>
        <w:jc w:val="both"/>
        <w:rPr>
          <w:sz w:val="28"/>
        </w:rPr>
      </w:pPr>
      <w:r>
        <w:rPr>
          <w:sz w:val="28"/>
        </w:rPr>
        <w:t>Министр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          </w:t>
      </w:r>
      <w:r>
        <w:rPr>
          <w:sz w:val="28"/>
        </w:rPr>
        <w:t xml:space="preserve"> </w:t>
      </w:r>
      <w:r>
        <w:rPr>
          <w:sz w:val="28"/>
        </w:rPr>
        <w:t xml:space="preserve">  </w:t>
      </w:r>
      <w:r>
        <w:rPr>
          <w:sz w:val="28"/>
        </w:rPr>
        <w:t xml:space="preserve">   </w:t>
      </w:r>
      <w:r>
        <w:rPr>
          <w:sz w:val="28"/>
        </w:rPr>
        <w:t>Е.И. Дитрих</w:t>
      </w:r>
    </w:p>
    <w:p w14:paraId="14000000">
      <w:pPr>
        <w:ind w:right="-232"/>
        <w:jc w:val="both"/>
        <w:rPr>
          <w:sz w:val="28"/>
        </w:rPr>
      </w:pPr>
    </w:p>
    <w:p w14:paraId="15000000">
      <w:pPr>
        <w:ind w:right="-232"/>
        <w:jc w:val="both"/>
        <w:rPr>
          <w:sz w:val="28"/>
        </w:rPr>
      </w:pPr>
    </w:p>
    <w:p w14:paraId="16000000">
      <w:pPr>
        <w:ind w:right="-232"/>
        <w:jc w:val="both"/>
        <w:rPr>
          <w:sz w:val="28"/>
        </w:rPr>
      </w:pPr>
    </w:p>
    <w:p w14:paraId="17000000">
      <w:pPr>
        <w:ind w:right="-232"/>
        <w:jc w:val="both"/>
        <w:rPr>
          <w:sz w:val="28"/>
        </w:rPr>
      </w:pPr>
    </w:p>
    <w:p w14:paraId="18000000">
      <w:pPr>
        <w:ind w:right="-232"/>
        <w:jc w:val="both"/>
        <w:rPr>
          <w:sz w:val="28"/>
        </w:rPr>
      </w:pPr>
    </w:p>
    <w:p w14:paraId="19000000">
      <w:pPr>
        <w:ind w:right="-232"/>
        <w:jc w:val="both"/>
        <w:rPr>
          <w:sz w:val="28"/>
        </w:rPr>
      </w:pPr>
    </w:p>
    <w:p w14:paraId="1A000000">
      <w:pPr>
        <w:ind w:right="-232"/>
        <w:jc w:val="both"/>
        <w:rPr>
          <w:sz w:val="28"/>
        </w:rPr>
      </w:pPr>
    </w:p>
    <w:p w14:paraId="1B000000">
      <w:pPr>
        <w:ind/>
        <w:jc w:val="both"/>
        <w:rPr>
          <w:sz w:val="20"/>
        </w:rPr>
      </w:pPr>
    </w:p>
    <w:p w14:paraId="1C000000">
      <w:pPr>
        <w:ind/>
        <w:jc w:val="both"/>
        <w:rPr>
          <w:sz w:val="20"/>
        </w:rPr>
      </w:pPr>
    </w:p>
    <w:p w14:paraId="1D000000">
      <w:pPr>
        <w:ind/>
        <w:jc w:val="both"/>
        <w:rPr>
          <w:sz w:val="20"/>
        </w:rPr>
      </w:pPr>
    </w:p>
    <w:p w14:paraId="1E000000">
      <w:pPr>
        <w:ind/>
        <w:jc w:val="both"/>
        <w:rPr>
          <w:sz w:val="20"/>
        </w:rPr>
      </w:pPr>
      <w:r>
        <w:rPr>
          <w:sz w:val="20"/>
        </w:rPr>
        <w:t>Ананенко Андрей Олегович</w:t>
      </w:r>
    </w:p>
    <w:p w14:paraId="1F000000">
      <w:pPr>
        <w:ind/>
        <w:jc w:val="both"/>
        <w:rPr>
          <w:sz w:val="20"/>
        </w:rPr>
      </w:pPr>
      <w:r>
        <w:rPr>
          <w:sz w:val="20"/>
        </w:rPr>
        <w:t>8(499) 495 16 03</w:t>
      </w:r>
    </w:p>
    <w:p w14:paraId="20000000">
      <w:pPr>
        <w:ind/>
        <w:jc w:val="both"/>
        <w:rPr>
          <w:sz w:val="18"/>
        </w:rPr>
      </w:pPr>
    </w:p>
    <w:sectPr>
      <w:pgSz w:h="16834" w:w="11909"/>
      <w:pgMar w:bottom="651" w:footer="720" w:gutter="0" w:header="720" w:left="1134" w:right="629" w:top="97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w="http://schemas.openxmlformats.org/wordprocessingml/2006/main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toc 2"/>
    <w:link w:val="Style_5_ch"/>
    <w:uiPriority w:val="39"/>
    <w:pPr>
      <w:ind w:firstLine="0" w:left="200"/>
    </w:pPr>
  </w:style>
  <w:style w:styleId="Style_5_ch" w:type="character">
    <w:name w:val="toc 2"/>
    <w:link w:val="Style_5"/>
  </w:style>
  <w:style w:styleId="Style_6" w:type="paragraph">
    <w:name w:val="toc 4"/>
    <w:link w:val="Style_6_ch"/>
    <w:uiPriority w:val="39"/>
    <w:pPr>
      <w:ind w:firstLine="0" w:left="600"/>
    </w:pPr>
  </w:style>
  <w:style w:styleId="Style_6_ch" w:type="character">
    <w:name w:val="toc 4"/>
    <w:link w:val="Style_6"/>
  </w:style>
  <w:style w:styleId="Style_7" w:type="paragraph">
    <w:name w:val="toc 6"/>
    <w:link w:val="Style_7_ch"/>
    <w:uiPriority w:val="39"/>
    <w:pPr>
      <w:ind w:firstLine="0" w:left="1000"/>
    </w:pPr>
  </w:style>
  <w:style w:styleId="Style_7_ch" w:type="character">
    <w:name w:val="toc 6"/>
    <w:link w:val="Style_7"/>
  </w:style>
  <w:style w:styleId="Style_8" w:type="paragraph">
    <w:name w:val="toc 7"/>
    <w:link w:val="Style_8_ch"/>
    <w:uiPriority w:val="39"/>
    <w:pPr>
      <w:ind w:firstLine="0" w:left="1200"/>
    </w:pPr>
  </w:style>
  <w:style w:styleId="Style_8_ch" w:type="character">
    <w:name w:val="toc 7"/>
    <w:link w:val="Style_8"/>
  </w:style>
  <w:style w:styleId="Style_9" w:type="paragraph">
    <w:name w:val="heading 3"/>
    <w:link w:val="Style_9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9_ch" w:type="character">
    <w:name w:val="heading 3"/>
    <w:link w:val="Style_9"/>
    <w:rPr>
      <w:rFonts w:ascii="XO Thames" w:hAnsi="XO Thames"/>
      <w:b w:val="1"/>
      <w:i w:val="1"/>
      <w:color w:val="000000"/>
    </w:rPr>
  </w:style>
  <w:style w:styleId="Style_10" w:type="paragraph">
    <w:name w:val="page number"/>
    <w:basedOn w:val="Style_11"/>
    <w:link w:val="Style_10_ch"/>
  </w:style>
  <w:style w:styleId="Style_10_ch" w:type="character">
    <w:name w:val="page number"/>
    <w:basedOn w:val="Style_11_ch"/>
    <w:link w:val="Style_10"/>
  </w:style>
  <w:style w:styleId="Style_12" w:type="paragraph">
    <w:name w:val="Balloon Text"/>
    <w:basedOn w:val="Style_4"/>
    <w:link w:val="Style_12_ch"/>
    <w:rPr>
      <w:rFonts w:ascii="Segoe UI" w:hAnsi="Segoe UI"/>
      <w:sz w:val="18"/>
    </w:rPr>
  </w:style>
  <w:style w:styleId="Style_12_ch" w:type="character">
    <w:name w:val="Balloon Text"/>
    <w:basedOn w:val="Style_4_ch"/>
    <w:link w:val="Style_12"/>
    <w:rPr>
      <w:rFonts w:ascii="Segoe UI" w:hAnsi="Segoe UI"/>
      <w:sz w:val="18"/>
    </w:rPr>
  </w:style>
  <w:style w:styleId="Style_13" w:type="paragraph">
    <w:name w:val="toc 3"/>
    <w:link w:val="Style_13_ch"/>
    <w:uiPriority w:val="39"/>
    <w:pPr>
      <w:ind w:firstLine="0" w:left="400"/>
    </w:pPr>
  </w:style>
  <w:style w:styleId="Style_13_ch" w:type="character">
    <w:name w:val="toc 3"/>
    <w:link w:val="Style_13"/>
  </w:style>
  <w:style w:styleId="Style_3" w:type="paragraph">
    <w:name w:val="ConsPlusNormal"/>
    <w:link w:val="Style_3_ch"/>
    <w:pPr>
      <w:ind w:firstLine="720" w:left="0"/>
    </w:pPr>
    <w:rPr>
      <w:rFonts w:ascii="Arial" w:hAnsi="Arial"/>
    </w:rPr>
  </w:style>
  <w:style w:styleId="Style_3_ch" w:type="character">
    <w:name w:val="ConsPlusNormal"/>
    <w:link w:val="Style_3"/>
    <w:rPr>
      <w:rFonts w:ascii="Arial" w:hAnsi="Arial"/>
    </w:rPr>
  </w:style>
  <w:style w:styleId="Style_2" w:type="paragraph">
    <w:name w:val="heading 5"/>
    <w:basedOn w:val="Style_4"/>
    <w:next w:val="Style_4"/>
    <w:link w:val="Style_2_ch"/>
    <w:uiPriority w:val="9"/>
    <w:qFormat/>
    <w:pPr>
      <w:keepNext w:val="1"/>
      <w:ind/>
      <w:jc w:val="center"/>
      <w:outlineLvl w:val="4"/>
    </w:pPr>
    <w:rPr>
      <w:b w:val="1"/>
      <w:spacing w:val="100"/>
      <w:sz w:val="32"/>
    </w:rPr>
  </w:style>
  <w:style w:styleId="Style_2_ch" w:type="character">
    <w:name w:val="heading 5"/>
    <w:basedOn w:val="Style_4_ch"/>
    <w:link w:val="Style_2"/>
    <w:rPr>
      <w:b w:val="1"/>
      <w:spacing w:val="100"/>
      <w:sz w:val="32"/>
    </w:rPr>
  </w:style>
  <w:style w:styleId="Style_14" w:type="paragraph">
    <w:name w:val="heading 1"/>
    <w:link w:val="Style_14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eader"/>
    <w:basedOn w:val="Style_4"/>
    <w:link w:val="Style_15_ch"/>
    <w:pPr>
      <w:tabs>
        <w:tab w:leader="none" w:pos="4677" w:val="center"/>
        <w:tab w:leader="none" w:pos="9355" w:val="right"/>
      </w:tabs>
      <w:ind/>
    </w:pPr>
  </w:style>
  <w:style w:styleId="Style_15_ch" w:type="character">
    <w:name w:val="header"/>
    <w:basedOn w:val="Style_4_ch"/>
    <w:link w:val="Style_15"/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rPr>
      <w:rFonts w:ascii="XO Thames" w:hAnsi="XO Thames"/>
      <w:color w:val="757575"/>
      <w:sz w:val="20"/>
    </w:rPr>
  </w:style>
  <w:style w:styleId="Style_17_ch" w:type="character">
    <w:name w:val="Footnote"/>
    <w:link w:val="Style_17"/>
    <w:rPr>
      <w:rFonts w:ascii="XO Thames" w:hAnsi="XO Thames"/>
      <w:color w:val="757575"/>
      <w:sz w:val="20"/>
    </w:rPr>
  </w:style>
  <w:style w:styleId="Style_18" w:type="paragraph">
    <w:name w:val="toc 1"/>
    <w:link w:val="Style_18_ch"/>
    <w:uiPriority w:val="39"/>
    <w:pPr>
      <w:ind w:firstLine="0" w:left="0"/>
    </w:pPr>
    <w:rPr>
      <w:rFonts w:ascii="XO Thames" w:hAnsi="XO Thames"/>
      <w:b w:val="1"/>
    </w:rPr>
  </w:style>
  <w:style w:styleId="Style_18_ch" w:type="character">
    <w:name w:val="toc 1"/>
    <w:link w:val="Style_18"/>
    <w:rPr>
      <w:rFonts w:ascii="XO Thames" w:hAnsi="XO Thames"/>
      <w:b w:val="1"/>
    </w:rPr>
  </w:style>
  <w:style w:styleId="Style_19" w:type="paragraph">
    <w:name w:val="Header and Footer"/>
    <w:link w:val="Style_19_ch"/>
    <w:pPr>
      <w:spacing w:line="360" w:lineRule="auto"/>
      <w:ind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link w:val="Style_20_ch"/>
    <w:uiPriority w:val="39"/>
    <w:pPr>
      <w:ind w:firstLine="0" w:left="1600"/>
    </w:pPr>
  </w:style>
  <w:style w:styleId="Style_20_ch" w:type="character">
    <w:name w:val="toc 9"/>
    <w:link w:val="Style_20"/>
  </w:style>
  <w:style w:styleId="Style_21" w:type="paragraph">
    <w:name w:val="toc 8"/>
    <w:link w:val="Style_21_ch"/>
    <w:uiPriority w:val="39"/>
    <w:pPr>
      <w:ind w:firstLine="0" w:left="1400"/>
    </w:pPr>
  </w:style>
  <w:style w:styleId="Style_21_ch" w:type="character">
    <w:name w:val="toc 8"/>
    <w:link w:val="Style_21"/>
  </w:style>
  <w:style w:styleId="Style_22" w:type="paragraph">
    <w:name w:val="toc 5"/>
    <w:link w:val="Style_22_ch"/>
    <w:uiPriority w:val="39"/>
    <w:pPr>
      <w:ind w:firstLine="0" w:left="800"/>
    </w:pPr>
  </w:style>
  <w:style w:styleId="Style_22_ch" w:type="character">
    <w:name w:val="toc 5"/>
    <w:link w:val="Style_22"/>
  </w:style>
  <w:style w:styleId="Style_23" w:type="paragraph">
    <w:name w:val="Subtitle"/>
    <w:link w:val="Style_23_ch"/>
    <w:uiPriority w:val="11"/>
    <w:qFormat/>
    <w:rPr>
      <w:rFonts w:ascii="XO Thames" w:hAnsi="XO Thames"/>
      <w:i w:val="1"/>
      <w:color w:val="616161"/>
      <w:sz w:val="24"/>
    </w:rPr>
  </w:style>
  <w:style w:styleId="Style_23_ch" w:type="character">
    <w:name w:val="Subtitle"/>
    <w:link w:val="Style_23"/>
    <w:rPr>
      <w:rFonts w:ascii="XO Thames" w:hAnsi="XO Thames"/>
      <w:i w:val="1"/>
      <w:color w:val="616161"/>
      <w:sz w:val="24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24" w:type="paragraph">
    <w:name w:val="toc 10"/>
    <w:link w:val="Style_24_ch"/>
    <w:uiPriority w:val="39"/>
    <w:pPr>
      <w:ind w:firstLine="0" w:left="1800"/>
    </w:pPr>
  </w:style>
  <w:style w:styleId="Style_24_ch" w:type="character">
    <w:name w:val="toc 10"/>
    <w:link w:val="Style_24"/>
  </w:style>
  <w:style w:styleId="Style_25" w:type="paragraph">
    <w:name w:val="Title"/>
    <w:link w:val="Style_25_ch"/>
    <w:uiPriority w:val="10"/>
    <w:qFormat/>
    <w:rPr>
      <w:rFonts w:ascii="XO Thames" w:hAnsi="XO Thames"/>
      <w:b w:val="1"/>
      <w:sz w:val="52"/>
    </w:rPr>
  </w:style>
  <w:style w:styleId="Style_25_ch" w:type="character">
    <w:name w:val="Title"/>
    <w:link w:val="Style_25"/>
    <w:rPr>
      <w:rFonts w:ascii="XO Thames" w:hAnsi="XO Thames"/>
      <w:b w:val="1"/>
      <w:sz w:val="52"/>
    </w:rPr>
  </w:style>
  <w:style w:styleId="Style_26" w:type="paragraph">
    <w:name w:val="heading 4"/>
    <w:link w:val="Style_26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6_ch" w:type="character">
    <w:name w:val="heading 4"/>
    <w:link w:val="Style_26"/>
    <w:rPr>
      <w:rFonts w:ascii="XO Thames" w:hAnsi="XO Thames"/>
      <w:b w:val="1"/>
      <w:color w:val="595959"/>
      <w:sz w:val="26"/>
    </w:rPr>
  </w:style>
  <w:style w:styleId="Style_27" w:type="paragraph">
    <w:name w:val="heading 2"/>
    <w:link w:val="Style_27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7_ch" w:type="character">
    <w:name w:val="heading 2"/>
    <w:link w:val="Style_27"/>
    <w:rPr>
      <w:rFonts w:ascii="XO Thames" w:hAnsi="XO Thames"/>
      <w:b w:val="1"/>
      <w:color w:val="00A0FF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5</TotalTime>
  <DocSecurity>0</DocSecurity>
  <ScaleCrop>false</ScaleCrop>
  <Application>MyOffice-CoreFramework-Linux/13.0-597.96.2935.234.1@RELEASE-DESKTOP-MINT-ST-2</Application>
</Properties>
</file>