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подлежащим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>актов</w:t>
      </w:r>
      <w:r>
        <w:rPr>
          <w:b w:val="1"/>
          <w:sz w:val="28"/>
        </w:rPr>
        <w:t xml:space="preserve"> Министерства путей сообщения </w:t>
      </w:r>
      <w:r>
        <w:rPr>
          <w:b w:val="1"/>
          <w:sz w:val="28"/>
        </w:rPr>
        <w:t>СССР</w:t>
      </w:r>
      <w:r>
        <w:rPr>
          <w:b w:val="1"/>
          <w:sz w:val="28"/>
        </w:rPr>
        <w:t xml:space="preserve"> и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Министерства путей сообщения Российской Федерации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B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приведения нормативных актов в соответствие с законодательством </w:t>
      </w:r>
      <w:r>
        <w:rPr>
          <w:rFonts w:ascii="Times New Roman" w:hAnsi="Times New Roman"/>
          <w:sz w:val="28"/>
        </w:rPr>
        <w:t xml:space="preserve">Российской Федерации </w:t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D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E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не подлежащими применению:</w:t>
      </w:r>
    </w:p>
    <w:p w14:paraId="0F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Указание Министерства путей сообщения </w:t>
      </w:r>
      <w:r>
        <w:rPr>
          <w:rFonts w:ascii="Times New Roman" w:hAnsi="Times New Roman"/>
          <w:sz w:val="28"/>
        </w:rPr>
        <w:t>СССР от 13 декабря 1991 г.  № Ш-</w:t>
      </w:r>
      <w:r>
        <w:rPr>
          <w:rFonts w:ascii="Times New Roman" w:hAnsi="Times New Roman"/>
          <w:sz w:val="28"/>
        </w:rPr>
        <w:t>1889у «Об утверждении Типовых норм времени на техническое обслуживание устройств автоматики, телемеханики и связи»</w:t>
      </w:r>
      <w:r>
        <w:rPr>
          <w:rFonts w:ascii="Times New Roman" w:hAnsi="Times New Roman"/>
          <w:sz w:val="28"/>
        </w:rPr>
        <w:t>.</w:t>
      </w:r>
    </w:p>
    <w:p w14:paraId="10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</w:t>
      </w:r>
      <w:r>
        <w:rPr>
          <w:rFonts w:ascii="Times New Roman" w:hAnsi="Times New Roman"/>
          <w:sz w:val="28"/>
        </w:rPr>
        <w:t>кты Министерства путей сообщения Рос</w:t>
      </w:r>
      <w:r>
        <w:rPr>
          <w:rFonts w:ascii="Times New Roman" w:hAnsi="Times New Roman"/>
          <w:sz w:val="28"/>
        </w:rPr>
        <w:t xml:space="preserve">сийской Федерации (приложение </w:t>
      </w:r>
      <w:r>
        <w:rPr>
          <w:rFonts w:ascii="Times New Roman" w:hAnsi="Times New Roman"/>
          <w:sz w:val="28"/>
        </w:rPr>
        <w:t>к настоящему приказу).</w:t>
      </w:r>
    </w:p>
    <w:p w14:paraId="11000000">
      <w:pPr>
        <w:ind w:right="8"/>
        <w:jc w:val="both"/>
        <w:rPr>
          <w:sz w:val="28"/>
        </w:rPr>
      </w:pPr>
    </w:p>
    <w:p w14:paraId="12000000">
      <w:pPr>
        <w:ind w:right="8"/>
        <w:jc w:val="both"/>
        <w:rPr>
          <w:sz w:val="28"/>
        </w:rPr>
      </w:pPr>
    </w:p>
    <w:p w14:paraId="13000000">
      <w:pPr>
        <w:ind w:right="8"/>
        <w:jc w:val="both"/>
        <w:rPr>
          <w:sz w:val="28"/>
        </w:rPr>
      </w:pPr>
    </w:p>
    <w:p w14:paraId="14000000">
      <w:pPr>
        <w:ind w:right="-60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>М.Ю. Соколов</w:t>
      </w:r>
    </w:p>
    <w:p w14:paraId="15000000">
      <w:pPr>
        <w:ind w:right="-232"/>
        <w:jc w:val="both"/>
        <w:rPr>
          <w:sz w:val="28"/>
        </w:rPr>
      </w:pPr>
    </w:p>
    <w:p w14:paraId="16000000">
      <w:pPr>
        <w:ind w:right="-232"/>
        <w:jc w:val="both"/>
        <w:rPr>
          <w:sz w:val="28"/>
        </w:rPr>
      </w:pPr>
    </w:p>
    <w:p w14:paraId="17000000">
      <w:pPr>
        <w:ind w:right="-232"/>
        <w:jc w:val="both"/>
        <w:rPr>
          <w:sz w:val="28"/>
        </w:rPr>
      </w:pP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 w:right="-232"/>
        <w:jc w:val="both"/>
        <w:rPr>
          <w:sz w:val="28"/>
        </w:rPr>
      </w:pPr>
    </w:p>
    <w:p w14:paraId="1B000000">
      <w:pPr>
        <w:ind w:right="-232"/>
        <w:jc w:val="both"/>
        <w:rPr>
          <w:sz w:val="28"/>
        </w:rPr>
      </w:pPr>
    </w:p>
    <w:p w14:paraId="1C000000">
      <w:pPr>
        <w:ind w:right="-232"/>
        <w:jc w:val="both"/>
        <w:rPr>
          <w:sz w:val="28"/>
        </w:rPr>
      </w:pPr>
    </w:p>
    <w:p w14:paraId="1D000000">
      <w:pPr>
        <w:ind/>
        <w:jc w:val="both"/>
        <w:rPr>
          <w:sz w:val="20"/>
        </w:rPr>
      </w:pPr>
    </w:p>
    <w:p w14:paraId="1E000000">
      <w:pPr>
        <w:ind/>
        <w:jc w:val="both"/>
        <w:rPr>
          <w:sz w:val="20"/>
        </w:rPr>
      </w:pPr>
    </w:p>
    <w:p w14:paraId="1F000000">
      <w:pPr>
        <w:ind/>
        <w:jc w:val="both"/>
        <w:rPr>
          <w:sz w:val="20"/>
        </w:rPr>
      </w:pPr>
    </w:p>
    <w:p w14:paraId="20000000">
      <w:pPr>
        <w:ind/>
        <w:jc w:val="both"/>
        <w:rPr>
          <w:sz w:val="20"/>
        </w:rPr>
      </w:pPr>
    </w:p>
    <w:p w14:paraId="21000000">
      <w:pPr>
        <w:ind/>
        <w:jc w:val="both"/>
        <w:rPr>
          <w:sz w:val="20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ind/>
        <w:jc w:val="both"/>
        <w:rPr>
          <w:sz w:val="20"/>
        </w:rPr>
      </w:pPr>
    </w:p>
    <w:p w14:paraId="25000000">
      <w:pPr>
        <w:ind/>
        <w:jc w:val="both"/>
        <w:rPr>
          <w:sz w:val="20"/>
        </w:rPr>
      </w:pPr>
    </w:p>
    <w:p w14:paraId="26000000">
      <w:pPr>
        <w:ind/>
        <w:jc w:val="both"/>
        <w:rPr>
          <w:sz w:val="20"/>
        </w:rPr>
      </w:pPr>
      <w:r>
        <w:rPr>
          <w:sz w:val="20"/>
        </w:rPr>
        <w:t>Лихачев Сергей Сергеевич</w:t>
      </w:r>
    </w:p>
    <w:p w14:paraId="27000000">
      <w:pPr>
        <w:ind/>
        <w:jc w:val="both"/>
        <w:rPr>
          <w:sz w:val="20"/>
        </w:rPr>
      </w:pPr>
      <w:r>
        <w:rPr>
          <w:sz w:val="20"/>
        </w:rPr>
        <w:t>8(499) 495 07 24</w:t>
      </w:r>
    </w:p>
    <w:sectPr>
      <w:pgSz w:h="16834" w:w="11909"/>
      <w:pgMar w:bottom="851" w:footer="720" w:gutter="0" w:header="720" w:left="1134" w:right="737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Balloon Text"/>
    <w:basedOn w:val="Style_4"/>
    <w:link w:val="Style_9_ch"/>
    <w:rPr>
      <w:rFonts w:ascii="Segoe UI" w:hAnsi="Segoe UI"/>
      <w:sz w:val="18"/>
    </w:rPr>
  </w:style>
  <w:style w:styleId="Style_9_ch" w:type="character">
    <w:name w:val="Balloon Text"/>
    <w:basedOn w:val="Style_4_ch"/>
    <w:link w:val="Style_9"/>
    <w:rPr>
      <w:rFonts w:ascii="Segoe UI" w:hAnsi="Segoe UI"/>
      <w:sz w:val="18"/>
    </w:rPr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4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page number"/>
    <w:basedOn w:val="Style_13"/>
    <w:link w:val="Style_14_ch"/>
  </w:style>
  <w:style w:styleId="Style_14_ch" w:type="character">
    <w:name w:val="page number"/>
    <w:basedOn w:val="Style_13_ch"/>
    <w:link w:val="Style_14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5" w:type="paragraph">
    <w:name w:val="heading 1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  <w:color w:val="757575"/>
      <w:sz w:val="20"/>
    </w:rPr>
  </w:style>
  <w:style w:styleId="Style_17_ch" w:type="character">
    <w:name w:val="Footnote"/>
    <w:link w:val="Style_17"/>
    <w:rPr>
      <w:rFonts w:ascii="XO Thames" w:hAnsi="XO Thames"/>
      <w:color w:val="757575"/>
      <w:sz w:val="20"/>
    </w:rPr>
  </w:style>
  <w:style w:styleId="Style_18" w:type="paragraph">
    <w:name w:val="toc 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