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/>
    <w:p w14:paraId="08000000"/>
    <w:p w14:paraId="09000000"/>
    <w:p w14:paraId="0A000000">
      <w:pPr>
        <w:ind/>
        <w:jc w:val="center"/>
        <w:rPr>
          <w:b w:val="1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D000000">
      <w:pPr>
        <w:ind/>
        <w:jc w:val="center"/>
        <w:rPr>
          <w:b w:val="1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нормативных актов в соответствие с законодательством </w:t>
      </w:r>
      <w:r>
        <w:rPr>
          <w:rFonts w:ascii="Times New Roman" w:hAnsi="Times New Roman"/>
          <w:sz w:val="28"/>
        </w:rPr>
        <w:t xml:space="preserve">Российской Федерации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10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1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12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Признать не подлежащими применению на территории Российской Федерации акты Министерства путей сообщения СССР (приложение № 1 к настоящему приказу).</w:t>
      </w:r>
    </w:p>
    <w:p w14:paraId="13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Признать не подлежащими применению акты Министерства путей сообщения Российской Федерации (приложение № 2 к настоящему приказу).</w:t>
      </w:r>
    </w:p>
    <w:p w14:paraId="14000000">
      <w:pPr>
        <w:ind w:right="8"/>
        <w:jc w:val="both"/>
        <w:rPr>
          <w:sz w:val="28"/>
        </w:rPr>
      </w:pPr>
    </w:p>
    <w:p w14:paraId="15000000">
      <w:pPr>
        <w:ind w:right="8"/>
        <w:jc w:val="both"/>
        <w:rPr>
          <w:sz w:val="28"/>
        </w:rPr>
      </w:pPr>
    </w:p>
    <w:p w14:paraId="16000000">
      <w:pPr>
        <w:ind w:right="8"/>
        <w:jc w:val="both"/>
        <w:rPr>
          <w:sz w:val="28"/>
        </w:rPr>
      </w:pPr>
    </w:p>
    <w:p w14:paraId="17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Е.И. Дитрих</w:t>
      </w: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 w:right="-232"/>
        <w:jc w:val="both"/>
        <w:rPr>
          <w:sz w:val="28"/>
        </w:rPr>
      </w:pPr>
    </w:p>
    <w:p w14:paraId="1F000000">
      <w:pPr>
        <w:ind w:right="-232"/>
        <w:jc w:val="both"/>
        <w:rPr>
          <w:sz w:val="28"/>
        </w:rPr>
      </w:pPr>
    </w:p>
    <w:p w14:paraId="20000000">
      <w:pPr>
        <w:ind w:right="-232"/>
        <w:jc w:val="both"/>
        <w:rPr>
          <w:sz w:val="28"/>
        </w:rPr>
      </w:pPr>
    </w:p>
    <w:p w14:paraId="21000000">
      <w:pPr>
        <w:ind w:right="-232"/>
        <w:jc w:val="both"/>
        <w:rPr>
          <w:sz w:val="28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spacing w:before="120"/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5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6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page number"/>
    <w:basedOn w:val="Style_11"/>
    <w:link w:val="Style_10_ch"/>
  </w:style>
  <w:style w:styleId="Style_10_ch" w:type="character">
    <w:name w:val="page number"/>
    <w:basedOn w:val="Style_11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3" w:type="paragraph">
    <w:name w:val="heading 1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14" w:type="paragraph">
    <w:name w:val="Balloon Text"/>
    <w:basedOn w:val="Style_4"/>
    <w:link w:val="Style_14_ch"/>
    <w:rPr>
      <w:rFonts w:ascii="Segoe UI" w:hAnsi="Segoe UI"/>
      <w:sz w:val="18"/>
    </w:rPr>
  </w:style>
  <w:style w:styleId="Style_14_ch" w:type="character">
    <w:name w:val="Balloon Text"/>
    <w:basedOn w:val="Style_4_ch"/>
    <w:link w:val="Style_14"/>
    <w:rPr>
      <w:rFonts w:ascii="Segoe UI" w:hAnsi="Segoe UI"/>
      <w:sz w:val="1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rPr>
      <w:rFonts w:ascii="XO Thames" w:hAnsi="XO Thames"/>
      <w:color w:val="757575"/>
      <w:sz w:val="20"/>
    </w:rPr>
  </w:style>
  <w:style w:styleId="Style_16_ch" w:type="character">
    <w:name w:val="Footnote"/>
    <w:link w:val="Style_16"/>
    <w:rPr>
      <w:rFonts w:ascii="XO Thames" w:hAnsi="XO Thames"/>
      <w:color w:val="757575"/>
      <w:sz w:val="20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4"/>
    <w:link w:val="Style_21_ch"/>
    <w:pPr>
      <w:tabs>
        <w:tab w:leader="none" w:pos="4677" w:val="center"/>
        <w:tab w:leader="none" w:pos="9355" w:val="right"/>
      </w:tabs>
      <w:ind/>
    </w:pPr>
  </w:style>
  <w:style w:styleId="Style_21_ch" w:type="character">
    <w:name w:val="header"/>
    <w:basedOn w:val="Style_4_ch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