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pic="http://schemas.openxmlformats.org/drawingml/2006/picture" xmlns:r="http://schemas.openxmlformats.org/officeDocument/2006/relationships" xmlns:w14="http://schemas.microsoft.com/office/word/2010/wordml" xmlns:wp="http://schemas.openxmlformats.org/drawingml/2006/wordprocessingDrawing" mc:Ignorable="w14">
  <w:body>
    <w:tbl>
      <w:tblPr>
        <w:tblStyle w:val="Style_1"/>
      </w:tblPr>
      <w:tblGrid>
        <w:gridCol w:w="3474"/>
        <w:gridCol w:w="3475"/>
        <w:gridCol w:w="3475"/>
      </w:tblGrid>
      <w:tr>
        <w:trPr>
          <w:trHeight w:hRule="exact" w:val="964"/>
        </w:trPr>
        <w:tc>
          <w:tcPr>
            <w:tcW w:type="dxa" w:w="10424"/>
            <w:gridSpan w:val="3"/>
          </w:tcPr>
          <w:p w14:paraId="01000000">
            <w:pPr>
              <w:ind/>
              <w:jc w:val="center"/>
            </w:pPr>
          </w:p>
        </w:tc>
      </w:tr>
      <w:tr>
        <w:trPr>
          <w:trHeight w:hRule="exact" w:val="1134"/>
        </w:trPr>
        <w:tc>
          <w:tcPr>
            <w:tcW w:type="dxa" w:w="10424"/>
            <w:gridSpan w:val="3"/>
            <w:vAlign w:val="center"/>
          </w:tcPr>
          <w:p w14:paraId="02000000">
            <w:pPr>
              <w:ind/>
              <w:jc w:val="center"/>
            </w:pPr>
          </w:p>
        </w:tc>
      </w:tr>
      <w:tr>
        <w:trPr>
          <w:trHeight w:hRule="exact" w:val="567"/>
        </w:trPr>
        <w:tc>
          <w:tcPr>
            <w:tcW w:type="dxa" w:w="10424"/>
            <w:gridSpan w:val="3"/>
          </w:tcPr>
          <w:p w14:paraId="03000000">
            <w:pPr>
              <w:pStyle w:val="Style_2"/>
              <w:rPr>
                <w:spacing w:val="80"/>
              </w:rPr>
            </w:pPr>
          </w:p>
        </w:tc>
      </w:tr>
      <w:tr>
        <w:trPr>
          <w:trHeight w:hRule="atLeast" w:val="1021"/>
        </w:trPr>
        <w:tc>
          <w:tcPr>
            <w:tcW w:type="dxa" w:w="3474"/>
          </w:tcPr>
          <w:p w14:paraId="04000000">
            <w:pPr>
              <w:spacing w:before="200"/>
              <w:ind/>
            </w:pPr>
          </w:p>
        </w:tc>
        <w:tc>
          <w:tcPr>
            <w:tcW w:type="dxa" w:w="3475"/>
          </w:tcPr>
          <w:p w14:paraId="05000000">
            <w:pPr>
              <w:spacing w:before="200"/>
              <w:ind/>
              <w:jc w:val="center"/>
              <w:rPr>
                <w:sz w:val="28"/>
              </w:rPr>
            </w:pPr>
          </w:p>
        </w:tc>
        <w:tc>
          <w:tcPr>
            <w:tcW w:type="dxa" w:w="3475"/>
            <w:tcFitText w:val="1"/>
          </w:tcPr>
          <w:p w14:paraId="06000000">
            <w:pPr>
              <w:spacing w:before="200"/>
              <w:ind/>
            </w:pPr>
          </w:p>
        </w:tc>
      </w:tr>
    </w:tbl>
    <w:p w14:paraId="07000000"/>
    <w:p w14:paraId="08000000"/>
    <w:p w14:paraId="09000000"/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признании </w:t>
      </w:r>
      <w:r>
        <w:rPr>
          <w:b w:val="1"/>
          <w:sz w:val="28"/>
        </w:rPr>
        <w:t>не подлежащим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применению</w:t>
      </w:r>
      <w:r>
        <w:rPr>
          <w:b w:val="1"/>
          <w:sz w:val="28"/>
        </w:rPr>
        <w:br/>
      </w:r>
      <w:r>
        <w:rPr>
          <w:b w:val="1"/>
          <w:sz w:val="28"/>
        </w:rPr>
        <w:t>актов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Министерства путей сообщения Российской Федерации</w:t>
      </w:r>
    </w:p>
    <w:p w14:paraId="0C000000">
      <w:pPr>
        <w:ind/>
        <w:jc w:val="center"/>
        <w:rPr>
          <w:b w:val="1"/>
          <w:sz w:val="28"/>
        </w:rPr>
      </w:pPr>
    </w:p>
    <w:p w14:paraId="0D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0E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связи с выявленными нарушениями порядка принятия (утверждения)</w:t>
      </w:r>
      <w:r>
        <w:rPr>
          <w:rFonts w:ascii="Times New Roman" w:hAnsi="Times New Roman"/>
          <w:sz w:val="28"/>
        </w:rPr>
        <w:t xml:space="preserve"> нормативных актов </w:t>
      </w:r>
      <w:r>
        <w:rPr>
          <w:rFonts w:ascii="Times New Roman" w:hAnsi="Times New Roman"/>
          <w:sz w:val="28"/>
        </w:rPr>
        <w:t>Министерства путей сообщения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Российской Федерации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          </w:t>
      </w:r>
      <w:r>
        <w:rPr>
          <w:rFonts w:ascii="Times New Roman" w:hAnsi="Times New Roman"/>
          <w:sz w:val="28"/>
        </w:rPr>
        <w:t>п р и к а з ы в а ю</w:t>
      </w:r>
      <w:r>
        <w:rPr>
          <w:rFonts w:ascii="Times New Roman" w:hAnsi="Times New Roman"/>
          <w:sz w:val="28"/>
        </w:rPr>
        <w:t>:</w:t>
      </w:r>
    </w:p>
    <w:p w14:paraId="0F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10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</w:p>
    <w:p w14:paraId="11000000">
      <w:pPr>
        <w:pStyle w:val="Style_3"/>
        <w:ind w:firstLine="540" w:left="0"/>
        <w:jc w:val="both"/>
        <w:outlineLvl w:val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Признать не подлежащими применению акты Министерства путей сообщения Российской Федерации </w:t>
      </w:r>
      <w:r>
        <w:rPr>
          <w:rFonts w:ascii="Times New Roman" w:hAnsi="Times New Roman"/>
          <w:sz w:val="28"/>
        </w:rPr>
        <w:t>согласно приложению к настоящему приказу</w:t>
      </w:r>
      <w:r>
        <w:rPr>
          <w:rFonts w:ascii="Times New Roman" w:hAnsi="Times New Roman"/>
          <w:sz w:val="28"/>
        </w:rPr>
        <w:t>.</w:t>
      </w:r>
    </w:p>
    <w:p w14:paraId="12000000">
      <w:pPr>
        <w:ind w:right="8"/>
        <w:jc w:val="both"/>
        <w:rPr>
          <w:sz w:val="28"/>
        </w:rPr>
      </w:pPr>
    </w:p>
    <w:p w14:paraId="13000000">
      <w:pPr>
        <w:ind w:right="8"/>
        <w:jc w:val="both"/>
        <w:rPr>
          <w:sz w:val="28"/>
        </w:rPr>
      </w:pPr>
    </w:p>
    <w:p w14:paraId="14000000">
      <w:pPr>
        <w:ind w:right="8"/>
        <w:jc w:val="both"/>
        <w:rPr>
          <w:sz w:val="28"/>
        </w:rPr>
      </w:pPr>
    </w:p>
    <w:p w14:paraId="15000000">
      <w:pPr>
        <w:ind w:right="-60"/>
        <w:jc w:val="both"/>
        <w:rPr>
          <w:sz w:val="28"/>
        </w:rPr>
      </w:pPr>
      <w:r>
        <w:rPr>
          <w:sz w:val="28"/>
        </w:rPr>
        <w:t>Министр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                  </w:t>
      </w:r>
      <w:r>
        <w:rPr>
          <w:sz w:val="28"/>
        </w:rPr>
        <w:t xml:space="preserve"> </w:t>
      </w:r>
      <w:r>
        <w:rPr>
          <w:sz w:val="28"/>
        </w:rPr>
        <w:t xml:space="preserve">  </w:t>
      </w:r>
      <w:r>
        <w:rPr>
          <w:sz w:val="28"/>
        </w:rPr>
        <w:t xml:space="preserve">   </w:t>
      </w:r>
      <w:r>
        <w:rPr>
          <w:sz w:val="28"/>
        </w:rPr>
        <w:t xml:space="preserve">    </w:t>
      </w:r>
      <w:r>
        <w:rPr>
          <w:sz w:val="28"/>
        </w:rPr>
        <w:t>Е.И. Дитрих</w:t>
      </w:r>
    </w:p>
    <w:p w14:paraId="16000000">
      <w:pPr>
        <w:ind w:right="-232"/>
        <w:jc w:val="both"/>
        <w:rPr>
          <w:sz w:val="28"/>
        </w:rPr>
      </w:pPr>
    </w:p>
    <w:p w14:paraId="17000000">
      <w:pPr>
        <w:ind w:right="-232"/>
        <w:jc w:val="both"/>
        <w:rPr>
          <w:sz w:val="28"/>
        </w:rPr>
      </w:pPr>
    </w:p>
    <w:p w14:paraId="18000000">
      <w:pPr>
        <w:ind w:right="-232"/>
        <w:jc w:val="both"/>
        <w:rPr>
          <w:sz w:val="28"/>
        </w:rPr>
      </w:pPr>
    </w:p>
    <w:p w14:paraId="19000000">
      <w:pPr>
        <w:ind w:right="-232"/>
        <w:jc w:val="both"/>
        <w:rPr>
          <w:sz w:val="28"/>
        </w:rPr>
      </w:pPr>
    </w:p>
    <w:p w14:paraId="1A000000">
      <w:pPr>
        <w:ind w:right="-232"/>
        <w:jc w:val="both"/>
        <w:rPr>
          <w:sz w:val="28"/>
        </w:rPr>
      </w:pPr>
    </w:p>
    <w:p w14:paraId="1B000000">
      <w:pPr>
        <w:ind w:right="-232"/>
        <w:jc w:val="both"/>
        <w:rPr>
          <w:sz w:val="28"/>
        </w:rPr>
      </w:pPr>
    </w:p>
    <w:p w14:paraId="1C000000">
      <w:pPr>
        <w:ind w:right="-232"/>
        <w:jc w:val="both"/>
        <w:rPr>
          <w:sz w:val="28"/>
        </w:rPr>
      </w:pPr>
    </w:p>
    <w:p w14:paraId="1D000000">
      <w:pPr>
        <w:ind w:right="-232"/>
        <w:jc w:val="both"/>
        <w:rPr>
          <w:sz w:val="28"/>
        </w:rPr>
      </w:pPr>
    </w:p>
    <w:p w14:paraId="1E000000">
      <w:pPr>
        <w:ind w:right="-232"/>
        <w:jc w:val="both"/>
        <w:rPr>
          <w:sz w:val="28"/>
        </w:rPr>
      </w:pPr>
    </w:p>
    <w:p w14:paraId="1F000000">
      <w:pPr>
        <w:ind w:right="-232"/>
        <w:jc w:val="both"/>
        <w:rPr>
          <w:sz w:val="28"/>
        </w:rPr>
      </w:pPr>
    </w:p>
    <w:p w14:paraId="20000000">
      <w:pPr>
        <w:ind/>
        <w:jc w:val="both"/>
        <w:rPr>
          <w:sz w:val="20"/>
        </w:rPr>
      </w:pPr>
    </w:p>
    <w:p w14:paraId="21000000">
      <w:pPr>
        <w:ind/>
        <w:jc w:val="both"/>
        <w:rPr>
          <w:sz w:val="20"/>
        </w:rPr>
      </w:pPr>
    </w:p>
    <w:p w14:paraId="22000000">
      <w:pPr>
        <w:ind/>
        <w:jc w:val="both"/>
        <w:rPr>
          <w:sz w:val="20"/>
        </w:rPr>
      </w:pPr>
    </w:p>
    <w:p w14:paraId="23000000">
      <w:pPr>
        <w:ind/>
        <w:jc w:val="both"/>
        <w:rPr>
          <w:sz w:val="20"/>
        </w:rPr>
      </w:pPr>
    </w:p>
    <w:p w14:paraId="24000000">
      <w:pPr>
        <w:ind/>
        <w:jc w:val="both"/>
        <w:rPr>
          <w:sz w:val="20"/>
        </w:rPr>
      </w:pPr>
    </w:p>
    <w:p w14:paraId="25000000">
      <w:pPr>
        <w:ind/>
        <w:jc w:val="both"/>
        <w:rPr>
          <w:sz w:val="20"/>
        </w:rPr>
      </w:pPr>
    </w:p>
    <w:p w14:paraId="26000000">
      <w:pPr>
        <w:spacing w:before="120"/>
        <w:ind/>
        <w:jc w:val="both"/>
        <w:rPr>
          <w:sz w:val="20"/>
        </w:rPr>
      </w:pPr>
      <w:r>
        <w:rPr>
          <w:sz w:val="20"/>
        </w:rPr>
        <w:t>Ананенко Андрей Олегович</w:t>
      </w:r>
    </w:p>
    <w:p w14:paraId="27000000">
      <w:pPr>
        <w:ind/>
        <w:jc w:val="both"/>
        <w:rPr>
          <w:sz w:val="20"/>
        </w:rPr>
      </w:pPr>
      <w:r>
        <w:rPr>
          <w:sz w:val="20"/>
        </w:rPr>
        <w:t>8(499) 495 16 03</w:t>
      </w:r>
    </w:p>
    <w:p w14:paraId="28000000">
      <w:pPr>
        <w:ind/>
        <w:jc w:val="both"/>
        <w:rPr>
          <w:sz w:val="18"/>
        </w:rPr>
      </w:pPr>
    </w:p>
    <w:sectPr>
      <w:pgSz w:h="16834" w:w="11909"/>
      <w:pgMar w:bottom="651" w:footer="720" w:gutter="0" w:header="720" w:left="1134" w:right="629" w:top="97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w="http://schemas.openxmlformats.org/wordprocessingml/2006/main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link w:val="Style_5_ch"/>
    <w:uiPriority w:val="39"/>
    <w:pPr>
      <w:ind w:firstLine="0" w:left="200"/>
    </w:pPr>
  </w:style>
  <w:style w:styleId="Style_5_ch" w:type="character">
    <w:name w:val="toc 2"/>
    <w:link w:val="Style_5"/>
  </w:style>
  <w:style w:styleId="Style_6" w:type="paragraph">
    <w:name w:val="toc 4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toc 6"/>
    <w:link w:val="Style_7_ch"/>
    <w:uiPriority w:val="39"/>
    <w:pPr>
      <w:ind w:firstLine="0" w:left="1000"/>
    </w:pPr>
  </w:style>
  <w:style w:styleId="Style_7_ch" w:type="character">
    <w:name w:val="toc 6"/>
    <w:link w:val="Style_7"/>
  </w:style>
  <w:style w:styleId="Style_8" w:type="paragraph">
    <w:name w:val="toc 7"/>
    <w:link w:val="Style_8_ch"/>
    <w:uiPriority w:val="39"/>
    <w:pPr>
      <w:ind w:firstLine="0" w:left="1200"/>
    </w:pPr>
  </w:style>
  <w:style w:styleId="Style_8_ch" w:type="character">
    <w:name w:val="toc 7"/>
    <w:link w:val="Style_8"/>
  </w:style>
  <w:style w:styleId="Style_9" w:type="paragraph">
    <w:name w:val="heading 3"/>
    <w:link w:val="Style_9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9_ch" w:type="character">
    <w:name w:val="heading 3"/>
    <w:link w:val="Style_9"/>
    <w:rPr>
      <w:rFonts w:ascii="XO Thames" w:hAnsi="XO Thames"/>
      <w:b w:val="1"/>
      <w:i w:val="1"/>
      <w:color w:val="000000"/>
    </w:rPr>
  </w:style>
  <w:style w:styleId="Style_10" w:type="paragraph">
    <w:name w:val="page number"/>
    <w:basedOn w:val="Style_11"/>
    <w:link w:val="Style_10_ch"/>
  </w:style>
  <w:style w:styleId="Style_10_ch" w:type="character">
    <w:name w:val="page number"/>
    <w:basedOn w:val="Style_11_ch"/>
    <w:link w:val="Style_10"/>
  </w:style>
  <w:style w:styleId="Style_12" w:type="paragraph">
    <w:name w:val="Balloon Text"/>
    <w:basedOn w:val="Style_4"/>
    <w:link w:val="Style_12_ch"/>
    <w:rPr>
      <w:rFonts w:ascii="Segoe UI" w:hAnsi="Segoe UI"/>
      <w:sz w:val="18"/>
    </w:rPr>
  </w:style>
  <w:style w:styleId="Style_12_ch" w:type="character">
    <w:name w:val="Balloon Text"/>
    <w:basedOn w:val="Style_4_ch"/>
    <w:link w:val="Style_12"/>
    <w:rPr>
      <w:rFonts w:ascii="Segoe UI" w:hAnsi="Segoe UI"/>
      <w:sz w:val="18"/>
    </w:rPr>
  </w:style>
  <w:style w:styleId="Style_3" w:type="paragraph">
    <w:name w:val="ConsPlusNormal"/>
    <w:link w:val="Style_3_ch"/>
    <w:pPr>
      <w:ind w:firstLine="720" w:left="0"/>
    </w:pPr>
    <w:rPr>
      <w:rFonts w:ascii="Arial" w:hAnsi="Arial"/>
    </w:rPr>
  </w:style>
  <w:style w:styleId="Style_3_ch" w:type="character">
    <w:name w:val="ConsPlusNormal"/>
    <w:link w:val="Style_3"/>
    <w:rPr>
      <w:rFonts w:ascii="Arial" w:hAnsi="Arial"/>
    </w:rPr>
  </w:style>
  <w:style w:styleId="Style_13" w:type="paragraph">
    <w:name w:val="toc 3"/>
    <w:link w:val="Style_13_ch"/>
    <w:uiPriority w:val="39"/>
    <w:pPr>
      <w:ind w:firstLine="0" w:left="400"/>
    </w:pPr>
  </w:style>
  <w:style w:styleId="Style_13_ch" w:type="character">
    <w:name w:val="toc 3"/>
    <w:link w:val="Style_13"/>
  </w:style>
  <w:style w:styleId="Style_2" w:type="paragraph">
    <w:name w:val="heading 5"/>
    <w:basedOn w:val="Style_4"/>
    <w:next w:val="Style_4"/>
    <w:link w:val="Style_2_ch"/>
    <w:uiPriority w:val="9"/>
    <w:qFormat/>
    <w:pPr>
      <w:keepNext w:val="1"/>
      <w:ind/>
      <w:jc w:val="center"/>
      <w:outlineLvl w:val="4"/>
    </w:pPr>
    <w:rPr>
      <w:b w:val="1"/>
      <w:spacing w:val="100"/>
      <w:sz w:val="32"/>
    </w:rPr>
  </w:style>
  <w:style w:styleId="Style_2_ch" w:type="character">
    <w:name w:val="heading 5"/>
    <w:basedOn w:val="Style_4_ch"/>
    <w:link w:val="Style_2"/>
    <w:rPr>
      <w:b w:val="1"/>
      <w:spacing w:val="100"/>
      <w:sz w:val="32"/>
    </w:rPr>
  </w:style>
  <w:style w:styleId="Style_14" w:type="paragraph">
    <w:name w:val="heading 1"/>
    <w:link w:val="Style_14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rPr>
      <w:rFonts w:ascii="XO Thames" w:hAnsi="XO Thames"/>
      <w:color w:val="757575"/>
      <w:sz w:val="20"/>
    </w:rPr>
  </w:style>
  <w:style w:styleId="Style_16_ch" w:type="character">
    <w:name w:val="Footnote"/>
    <w:link w:val="Style_16"/>
    <w:rPr>
      <w:rFonts w:ascii="XO Thames" w:hAnsi="XO Thames"/>
      <w:color w:val="757575"/>
      <w:sz w:val="20"/>
    </w:rPr>
  </w:style>
  <w:style w:styleId="Style_17" w:type="paragraph">
    <w:name w:val="toc 1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0" w:type="paragraph">
    <w:name w:val="toc 8"/>
    <w:link w:val="Style_20_ch"/>
    <w:uiPriority w:val="39"/>
    <w:pPr>
      <w:ind w:firstLine="0" w:left="1400"/>
    </w:pPr>
  </w:style>
  <w:style w:styleId="Style_20_ch" w:type="character">
    <w:name w:val="toc 8"/>
    <w:link w:val="Style_20"/>
  </w:style>
  <w:style w:styleId="Style_21" w:type="paragraph">
    <w:name w:val="header"/>
    <w:basedOn w:val="Style_4"/>
    <w:link w:val="Style_21_ch"/>
    <w:pPr>
      <w:tabs>
        <w:tab w:leader="none" w:pos="4677" w:val="center"/>
        <w:tab w:leader="none" w:pos="9355" w:val="right"/>
      </w:tabs>
      <w:ind/>
    </w:pPr>
  </w:style>
  <w:style w:styleId="Style_21_ch" w:type="character">
    <w:name w:val="header"/>
    <w:basedOn w:val="Style_4_ch"/>
    <w:link w:val="Style_21"/>
  </w:style>
  <w:style w:styleId="Style_22" w:type="paragraph">
    <w:name w:val="toc 5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Subtitle"/>
    <w:link w:val="Style_23_ch"/>
    <w:uiPriority w:val="11"/>
    <w:qFormat/>
    <w:rPr>
      <w:rFonts w:ascii="XO Thames" w:hAnsi="XO Thames"/>
      <w:i w:val="1"/>
      <w:color w:val="616161"/>
      <w:sz w:val="24"/>
    </w:rPr>
  </w:style>
  <w:style w:styleId="Style_23_ch" w:type="character">
    <w:name w:val="Subtitle"/>
    <w:link w:val="Style_23"/>
    <w:rPr>
      <w:rFonts w:ascii="XO Thames" w:hAnsi="XO Thames"/>
      <w:i w:val="1"/>
      <w:color w:val="616161"/>
      <w:sz w:val="24"/>
    </w:rPr>
  </w:style>
  <w:style w:styleId="Style_24" w:type="paragraph">
    <w:name w:val="toc 10"/>
    <w:link w:val="Style_24_ch"/>
    <w:uiPriority w:val="39"/>
    <w:pPr>
      <w:ind w:firstLine="0" w:left="1800"/>
    </w:pPr>
  </w:style>
  <w:style w:styleId="Style_24_ch" w:type="character">
    <w:name w:val="toc 10"/>
    <w:link w:val="Style_24"/>
  </w:style>
  <w:style w:styleId="Style_25" w:type="paragraph">
    <w:name w:val="Title"/>
    <w:link w:val="Style_25_ch"/>
    <w:uiPriority w:val="10"/>
    <w:qFormat/>
    <w:rPr>
      <w:rFonts w:ascii="XO Thames" w:hAnsi="XO Thames"/>
      <w:b w:val="1"/>
      <w:sz w:val="52"/>
    </w:rPr>
  </w:style>
  <w:style w:styleId="Style_25_ch" w:type="character">
    <w:name w:val="Title"/>
    <w:link w:val="Style_25"/>
    <w:rPr>
      <w:rFonts w:ascii="XO Thames" w:hAnsi="XO Thames"/>
      <w:b w:val="1"/>
      <w:sz w:val="52"/>
    </w:rPr>
  </w:style>
  <w:style w:styleId="Style_26" w:type="paragraph">
    <w:name w:val="heading 4"/>
    <w:link w:val="Style_26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6_ch" w:type="character">
    <w:name w:val="heading 4"/>
    <w:link w:val="Style_26"/>
    <w:rPr>
      <w:rFonts w:ascii="XO Thames" w:hAnsi="XO Thames"/>
      <w:b w:val="1"/>
      <w:color w:val="595959"/>
      <w:sz w:val="26"/>
    </w:rPr>
  </w:style>
  <w:style w:styleId="Style_27" w:type="paragraph">
    <w:name w:val="heading 2"/>
    <w:link w:val="Style_2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7_ch" w:type="character">
    <w:name w:val="heading 2"/>
    <w:link w:val="Style_27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5</TotalTime>
  <DocSecurity>0</DocSecurity>
  <ScaleCrop>false</ScaleCrop>
  <Application>MyOffice-CoreFramework-Linux/13.0-597.96.2935.234.1@RELEASE-DESKTOP-MINT-ST-2</Application>
</Properties>
</file>