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799" w:rsidRPr="00961799" w:rsidRDefault="00961799" w:rsidP="00BD4E0A">
      <w:pPr>
        <w:pStyle w:val="a3"/>
        <w:shd w:val="clear" w:color="auto" w:fill="FFFFFF"/>
        <w:spacing w:before="0" w:beforeAutospacing="0" w:after="0" w:afterAutospacing="0"/>
        <w:ind w:firstLineChars="250" w:firstLine="703"/>
        <w:jc w:val="center"/>
        <w:textAlignment w:val="baseline"/>
        <w:rPr>
          <w:b/>
          <w:sz w:val="28"/>
          <w:szCs w:val="28"/>
        </w:rPr>
      </w:pPr>
      <w:r w:rsidRPr="00961799">
        <w:rPr>
          <w:b/>
          <w:sz w:val="28"/>
          <w:szCs w:val="28"/>
        </w:rPr>
        <w:t xml:space="preserve">Информация Минтранса России </w:t>
      </w:r>
      <w:r w:rsidR="00F048AA" w:rsidRPr="00F048AA">
        <w:rPr>
          <w:b/>
          <w:sz w:val="28"/>
          <w:szCs w:val="28"/>
        </w:rPr>
        <w:t xml:space="preserve">об исполнении пунктов 1,3,4,13,16 раздела XVII «Транспортные услуги» </w:t>
      </w:r>
      <w:r w:rsidRPr="00961799">
        <w:rPr>
          <w:b/>
          <w:sz w:val="28"/>
          <w:szCs w:val="28"/>
        </w:rPr>
        <w:t>Плана мероприятий («дорожной карты»)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– 2020 годы</w:t>
      </w:r>
      <w:r w:rsidR="006570CA">
        <w:rPr>
          <w:b/>
          <w:sz w:val="28"/>
          <w:szCs w:val="28"/>
        </w:rPr>
        <w:br/>
      </w:r>
      <w:r w:rsidR="006570CA">
        <w:rPr>
          <w:b/>
          <w:sz w:val="28"/>
          <w:szCs w:val="28"/>
        </w:rPr>
        <w:t xml:space="preserve">по итогам </w:t>
      </w:r>
      <w:r w:rsidR="006570CA" w:rsidRPr="007C0F9E">
        <w:rPr>
          <w:b/>
          <w:sz w:val="28"/>
          <w:szCs w:val="28"/>
          <w:lang w:val="en-US"/>
        </w:rPr>
        <w:t>I</w:t>
      </w:r>
      <w:r w:rsidR="006570CA" w:rsidRPr="007C0F9E">
        <w:rPr>
          <w:rFonts w:ascii="TimesNewRomanPSMT" w:hAnsi="TimesNewRomanPSMT" w:cs="TimesNewRomanPSMT"/>
          <w:b/>
          <w:sz w:val="28"/>
          <w:szCs w:val="28"/>
        </w:rPr>
        <w:t>V</w:t>
      </w:r>
      <w:r w:rsidR="006570CA">
        <w:rPr>
          <w:b/>
          <w:sz w:val="28"/>
          <w:szCs w:val="28"/>
        </w:rPr>
        <w:t xml:space="preserve"> квартала 2018 года</w:t>
      </w:r>
    </w:p>
    <w:p w:rsidR="00961799" w:rsidRDefault="00961799" w:rsidP="00BD4E0A">
      <w:pPr>
        <w:pStyle w:val="a3"/>
        <w:shd w:val="clear" w:color="auto" w:fill="FFFFFF"/>
        <w:spacing w:before="0" w:beforeAutospacing="0" w:after="0" w:afterAutospacing="0"/>
        <w:ind w:firstLineChars="250" w:firstLine="703"/>
        <w:textAlignment w:val="baseline"/>
        <w:rPr>
          <w:b/>
          <w:sz w:val="28"/>
          <w:szCs w:val="28"/>
        </w:rPr>
      </w:pPr>
    </w:p>
    <w:p w:rsidR="006570CA" w:rsidRDefault="006570CA" w:rsidP="00BD4E0A">
      <w:pPr>
        <w:pStyle w:val="a3"/>
        <w:shd w:val="clear" w:color="auto" w:fill="FFFFFF"/>
        <w:spacing w:before="0" w:beforeAutospacing="0" w:after="0" w:afterAutospacing="0"/>
        <w:ind w:firstLineChars="250" w:firstLine="703"/>
        <w:textAlignment w:val="baseline"/>
        <w:rPr>
          <w:b/>
          <w:sz w:val="28"/>
          <w:szCs w:val="28"/>
        </w:rPr>
      </w:pPr>
    </w:p>
    <w:p w:rsidR="00DD2473" w:rsidRPr="007C0F9E" w:rsidRDefault="007C0F9E" w:rsidP="007C0F9E">
      <w:pPr>
        <w:pStyle w:val="a3"/>
        <w:shd w:val="clear" w:color="auto" w:fill="FFFFFF"/>
        <w:spacing w:before="0" w:beforeAutospacing="0" w:after="0" w:afterAutospacing="0"/>
        <w:ind w:firstLineChars="201" w:firstLine="565"/>
        <w:textAlignment w:val="baseline"/>
        <w:rPr>
          <w:b/>
          <w:sz w:val="28"/>
          <w:szCs w:val="28"/>
        </w:rPr>
      </w:pPr>
      <w:r w:rsidRPr="007C0F9E">
        <w:rPr>
          <w:rFonts w:ascii="TimesNewRomanPSMT" w:hAnsi="TimesNewRomanPSMT" w:cs="TimesNewRomanPSMT"/>
          <w:b/>
          <w:sz w:val="28"/>
          <w:szCs w:val="28"/>
        </w:rPr>
        <w:t>Подр</w:t>
      </w:r>
      <w:bookmarkStart w:id="0" w:name="_GoBack"/>
      <w:bookmarkEnd w:id="0"/>
      <w:r w:rsidRPr="007C0F9E">
        <w:rPr>
          <w:rFonts w:ascii="TimesNewRomanPSMT" w:hAnsi="TimesNewRomanPSMT" w:cs="TimesNewRomanPSMT"/>
          <w:b/>
          <w:sz w:val="28"/>
          <w:szCs w:val="28"/>
        </w:rPr>
        <w:t>аздел XVII</w:t>
      </w:r>
      <w:r>
        <w:rPr>
          <w:rFonts w:ascii="TimesNewRomanPSMT" w:hAnsi="TimesNewRomanPSMT" w:cs="TimesNewRomanPSMT"/>
          <w:b/>
          <w:sz w:val="28"/>
          <w:szCs w:val="28"/>
        </w:rPr>
        <w:t>.</w:t>
      </w:r>
      <w:r w:rsidRPr="007C0F9E">
        <w:rPr>
          <w:rFonts w:ascii="TimesNewRomanPSMT" w:hAnsi="TimesNewRomanPSMT" w:cs="TimesNewRomanPSMT"/>
          <w:b/>
          <w:sz w:val="28"/>
          <w:szCs w:val="28"/>
        </w:rPr>
        <w:t xml:space="preserve"> «Транспортные услуги» </w:t>
      </w:r>
      <w:r>
        <w:rPr>
          <w:b/>
          <w:sz w:val="28"/>
          <w:szCs w:val="28"/>
        </w:rPr>
        <w:t>р</w:t>
      </w:r>
      <w:r w:rsidR="001E70A1" w:rsidRPr="007C0F9E">
        <w:rPr>
          <w:b/>
          <w:sz w:val="28"/>
          <w:szCs w:val="28"/>
        </w:rPr>
        <w:t>аздел</w:t>
      </w:r>
      <w:r>
        <w:rPr>
          <w:b/>
          <w:sz w:val="28"/>
          <w:szCs w:val="28"/>
        </w:rPr>
        <w:t>а</w:t>
      </w:r>
      <w:r w:rsidR="001E70A1" w:rsidRPr="007C0F9E">
        <w:rPr>
          <w:b/>
          <w:sz w:val="28"/>
          <w:szCs w:val="28"/>
        </w:rPr>
        <w:t xml:space="preserve"> </w:t>
      </w:r>
      <w:r w:rsidR="001E70A1" w:rsidRPr="007C0F9E">
        <w:rPr>
          <w:b/>
          <w:sz w:val="28"/>
          <w:szCs w:val="28"/>
          <w:lang w:val="en-US"/>
        </w:rPr>
        <w:t>II</w:t>
      </w:r>
      <w:r w:rsidR="001E70A1" w:rsidRPr="007C0F9E">
        <w:rPr>
          <w:b/>
          <w:sz w:val="28"/>
          <w:szCs w:val="28"/>
        </w:rPr>
        <w:t>. «План развития конкуренции»</w:t>
      </w:r>
      <w:r w:rsidR="007D4DF5">
        <w:rPr>
          <w:b/>
          <w:sz w:val="28"/>
          <w:szCs w:val="28"/>
        </w:rPr>
        <w:t xml:space="preserve"> </w:t>
      </w:r>
    </w:p>
    <w:p w:rsidR="00E61F28" w:rsidRPr="002A03D6" w:rsidRDefault="00BD4E0A" w:rsidP="007C0F9E">
      <w:pPr>
        <w:spacing w:after="0" w:line="240" w:lineRule="auto"/>
        <w:ind w:firstLineChars="201" w:firstLine="563"/>
        <w:jc w:val="both"/>
        <w:rPr>
          <w:rFonts w:ascii="TimesNewRomanPSMT" w:hAnsi="TimesNewRomanPSMT" w:cs="TimesNewRomanPSMT"/>
          <w:i/>
          <w:sz w:val="28"/>
          <w:szCs w:val="28"/>
          <w:u w:val="single"/>
        </w:rPr>
      </w:pPr>
      <w:r w:rsidRPr="002A03D6">
        <w:rPr>
          <w:rFonts w:ascii="TimesNewRomanPSMT" w:hAnsi="TimesNewRomanPSMT" w:cs="TimesNewRomanPSMT"/>
          <w:i/>
          <w:sz w:val="28"/>
          <w:szCs w:val="28"/>
          <w:u w:val="single"/>
        </w:rPr>
        <w:t>Железнодорожный транспорт</w:t>
      </w:r>
    </w:p>
    <w:p w:rsidR="007B7CD1" w:rsidRDefault="007B7CD1" w:rsidP="007C0F9E">
      <w:pPr>
        <w:spacing w:after="0" w:line="240" w:lineRule="auto"/>
        <w:ind w:firstLineChars="201" w:firstLine="565"/>
        <w:jc w:val="both"/>
        <w:rPr>
          <w:rFonts w:ascii="TimesNewRomanPSMT" w:hAnsi="TimesNewRomanPSMT" w:cs="TimesNewRomanPSMT"/>
          <w:sz w:val="28"/>
          <w:szCs w:val="28"/>
        </w:rPr>
      </w:pPr>
      <w:r w:rsidRPr="007F5510">
        <w:rPr>
          <w:rFonts w:ascii="TimesNewRomanPSMT" w:hAnsi="TimesNewRomanPSMT" w:cs="TimesNewRomanPSMT"/>
          <w:b/>
          <w:sz w:val="28"/>
          <w:szCs w:val="28"/>
        </w:rPr>
        <w:t>Пункт 1</w:t>
      </w:r>
      <w:r w:rsidRPr="007F5510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C3004B" w:rsidRPr="00C3004B" w:rsidRDefault="00C3004B" w:rsidP="007C0F9E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04B">
        <w:rPr>
          <w:rFonts w:ascii="Times New Roman" w:hAnsi="Times New Roman" w:cs="Times New Roman"/>
          <w:i/>
          <w:sz w:val="28"/>
          <w:szCs w:val="28"/>
        </w:rPr>
        <w:t>«Подготовка изменений в законодательные акты Российской Федерации, предусматривающие создание условий для недискриминационного доступа к услугам, оказываемым коммерческими организациями, на контейнерных терминалах, относящимся к местам общего пользования».</w:t>
      </w:r>
    </w:p>
    <w:p w:rsidR="00001E6F" w:rsidRPr="00001E6F" w:rsidRDefault="00001E6F" w:rsidP="00001E6F">
      <w:pPr>
        <w:spacing w:after="0" w:line="240" w:lineRule="auto"/>
        <w:ind w:firstLineChars="201" w:firstLine="563"/>
        <w:jc w:val="both"/>
        <w:rPr>
          <w:rFonts w:ascii="TimesNewRomanPSMT" w:hAnsi="TimesNewRomanPSMT" w:cs="TimesNewRomanPSMT"/>
          <w:sz w:val="28"/>
          <w:szCs w:val="28"/>
        </w:rPr>
      </w:pPr>
      <w:r w:rsidRPr="00001E6F">
        <w:rPr>
          <w:rFonts w:ascii="TimesNewRomanPSMT" w:hAnsi="TimesNewRomanPSMT" w:cs="TimesNewRomanPSMT"/>
          <w:sz w:val="28"/>
          <w:szCs w:val="28"/>
        </w:rPr>
        <w:t>В рамках исполнения пункта 1 подраздела XVII «Транспортные услуги» раздела II «План развития конкуренции» разработан проект федерального закона</w:t>
      </w:r>
      <w:r w:rsidR="005651F4">
        <w:rPr>
          <w:rFonts w:ascii="TimesNewRomanPSMT" w:hAnsi="TimesNewRomanPSMT" w:cs="TimesNewRomanPSMT"/>
          <w:sz w:val="28"/>
          <w:szCs w:val="28"/>
        </w:rPr>
        <w:t xml:space="preserve"> </w:t>
      </w:r>
      <w:r w:rsidRPr="00001E6F">
        <w:rPr>
          <w:rFonts w:ascii="TimesNewRomanPSMT" w:hAnsi="TimesNewRomanPSMT" w:cs="TimesNewRomanPSMT"/>
          <w:sz w:val="28"/>
          <w:szCs w:val="28"/>
        </w:rPr>
        <w:t xml:space="preserve">«О внесении изменений в федеральный закон «Устав железнодорожного транспорта Российской Федерации», в части формирования законодательных основ функционирования </w:t>
      </w:r>
      <w:proofErr w:type="spellStart"/>
      <w:r w:rsidRPr="00001E6F">
        <w:rPr>
          <w:rFonts w:ascii="TimesNewRomanPSMT" w:hAnsi="TimesNewRomanPSMT" w:cs="TimesNewRomanPSMT"/>
          <w:sz w:val="28"/>
          <w:szCs w:val="28"/>
        </w:rPr>
        <w:t>терминально</w:t>
      </w:r>
      <w:proofErr w:type="spellEnd"/>
      <w:r w:rsidRPr="00001E6F">
        <w:rPr>
          <w:rFonts w:ascii="TimesNewRomanPSMT" w:hAnsi="TimesNewRomanPSMT" w:cs="TimesNewRomanPSMT"/>
          <w:sz w:val="28"/>
          <w:szCs w:val="28"/>
        </w:rPr>
        <w:t>-логистических центров. По законопроекту получены позиции Минэкономразвития России и ФАС России</w:t>
      </w:r>
      <w:r w:rsidR="00BE2E74">
        <w:rPr>
          <w:rFonts w:ascii="TimesNewRomanPSMT" w:hAnsi="TimesNewRomanPSMT" w:cs="TimesNewRomanPSMT"/>
          <w:sz w:val="28"/>
          <w:szCs w:val="28"/>
        </w:rPr>
        <w:t>.</w:t>
      </w:r>
      <w:r w:rsidRPr="00001E6F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001E6F" w:rsidRPr="00001E6F" w:rsidRDefault="00001E6F" w:rsidP="00001E6F">
      <w:pPr>
        <w:spacing w:after="0" w:line="240" w:lineRule="auto"/>
        <w:ind w:firstLineChars="201" w:firstLine="563"/>
        <w:jc w:val="both"/>
        <w:rPr>
          <w:rFonts w:ascii="TimesNewRomanPSMT" w:hAnsi="TimesNewRomanPSMT" w:cs="TimesNewRomanPSMT"/>
          <w:sz w:val="28"/>
          <w:szCs w:val="28"/>
        </w:rPr>
      </w:pPr>
      <w:r w:rsidRPr="00001E6F">
        <w:rPr>
          <w:rFonts w:ascii="TimesNewRomanPSMT" w:hAnsi="TimesNewRomanPSMT" w:cs="TimesNewRomanPSMT"/>
          <w:sz w:val="28"/>
          <w:szCs w:val="28"/>
        </w:rPr>
        <w:t>Минэкономразвития России (письмо от 26</w:t>
      </w:r>
      <w:r w:rsidR="003202FD">
        <w:rPr>
          <w:rFonts w:ascii="TimesNewRomanPSMT" w:hAnsi="TimesNewRomanPSMT" w:cs="TimesNewRomanPSMT"/>
          <w:sz w:val="28"/>
          <w:szCs w:val="28"/>
        </w:rPr>
        <w:t xml:space="preserve"> сентября 2018 г. </w:t>
      </w:r>
      <w:r w:rsidRPr="00001E6F">
        <w:rPr>
          <w:rFonts w:ascii="TimesNewRomanPSMT" w:hAnsi="TimesNewRomanPSMT" w:cs="TimesNewRomanPSMT"/>
          <w:sz w:val="28"/>
          <w:szCs w:val="28"/>
        </w:rPr>
        <w:t>№ 27617-МР/Д07и) отметило, что государственное регулирование в транспортных терминалах должно осуществляться в соответствии с законодательством о естественных монополиях, при этом дается ряд других замечаний.</w:t>
      </w:r>
    </w:p>
    <w:p w:rsidR="00001E6F" w:rsidRPr="00001E6F" w:rsidRDefault="003202FD" w:rsidP="00001E6F">
      <w:pPr>
        <w:spacing w:after="0" w:line="240" w:lineRule="auto"/>
        <w:ind w:firstLineChars="201" w:firstLine="563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ФАС России (письмо от 11 октября </w:t>
      </w:r>
      <w:r w:rsidR="00001E6F" w:rsidRPr="00001E6F">
        <w:rPr>
          <w:rFonts w:ascii="TimesNewRomanPSMT" w:hAnsi="TimesNewRomanPSMT" w:cs="TimesNewRomanPSMT"/>
          <w:sz w:val="28"/>
          <w:szCs w:val="28"/>
        </w:rPr>
        <w:t>2018</w:t>
      </w:r>
      <w:r w:rsidRPr="003202FD">
        <w:rPr>
          <w:rFonts w:ascii="TimesNewRomanPSMT" w:hAnsi="TimesNewRomanPSMT" w:cs="TimesNewRomanPSMT"/>
          <w:sz w:val="28"/>
          <w:szCs w:val="28"/>
        </w:rPr>
        <w:t xml:space="preserve"> г. </w:t>
      </w:r>
      <w:r w:rsidR="00001E6F" w:rsidRPr="00001E6F">
        <w:rPr>
          <w:rFonts w:ascii="TimesNewRomanPSMT" w:hAnsi="TimesNewRomanPSMT" w:cs="TimesNewRomanPSMT"/>
          <w:sz w:val="28"/>
          <w:szCs w:val="28"/>
        </w:rPr>
        <w:t xml:space="preserve">№ АР/82133/18) отмечает, что проект федерального закона содержит избыточные требования к регулированию деятельности </w:t>
      </w:r>
      <w:proofErr w:type="spellStart"/>
      <w:r w:rsidR="00001E6F" w:rsidRPr="00001E6F">
        <w:rPr>
          <w:rFonts w:ascii="TimesNewRomanPSMT" w:hAnsi="TimesNewRomanPSMT" w:cs="TimesNewRomanPSMT"/>
          <w:sz w:val="28"/>
          <w:szCs w:val="28"/>
        </w:rPr>
        <w:t>терминально</w:t>
      </w:r>
      <w:proofErr w:type="spellEnd"/>
      <w:r w:rsidR="00001E6F" w:rsidRPr="00001E6F">
        <w:rPr>
          <w:rFonts w:ascii="TimesNewRomanPSMT" w:hAnsi="TimesNewRomanPSMT" w:cs="TimesNewRomanPSMT"/>
          <w:sz w:val="28"/>
          <w:szCs w:val="28"/>
        </w:rPr>
        <w:t>-логистических центров и, соответственно, отсутствует необходимость внесения изменений в Федеральный закон «Устав железнодорожного транспорта Российской Федерации».</w:t>
      </w:r>
    </w:p>
    <w:p w:rsidR="0012484C" w:rsidRPr="005962BA" w:rsidRDefault="00001E6F" w:rsidP="00001E6F">
      <w:pPr>
        <w:spacing w:after="0" w:line="240" w:lineRule="auto"/>
        <w:ind w:firstLineChars="201" w:firstLine="563"/>
        <w:jc w:val="both"/>
        <w:rPr>
          <w:rFonts w:ascii="TimesNewRomanPSMT" w:hAnsi="TimesNewRomanPSMT" w:cs="TimesNewRomanPSMT"/>
          <w:sz w:val="28"/>
          <w:szCs w:val="28"/>
        </w:rPr>
      </w:pPr>
      <w:r w:rsidRPr="00001E6F">
        <w:rPr>
          <w:rFonts w:ascii="TimesNewRomanPSMT" w:hAnsi="TimesNewRomanPSMT" w:cs="TimesNewRomanPSMT"/>
          <w:sz w:val="28"/>
          <w:szCs w:val="28"/>
        </w:rPr>
        <w:t xml:space="preserve">В настоящее время </w:t>
      </w:r>
      <w:r w:rsidR="00505DFC">
        <w:rPr>
          <w:rFonts w:ascii="TimesNewRomanPSMT" w:hAnsi="TimesNewRomanPSMT" w:cs="TimesNewRomanPSMT"/>
          <w:sz w:val="28"/>
          <w:szCs w:val="28"/>
        </w:rPr>
        <w:t>Минтранс России</w:t>
      </w:r>
      <w:r w:rsidRPr="00001E6F">
        <w:rPr>
          <w:rFonts w:ascii="TimesNewRomanPSMT" w:hAnsi="TimesNewRomanPSMT" w:cs="TimesNewRomanPSMT"/>
          <w:sz w:val="28"/>
          <w:szCs w:val="28"/>
        </w:rPr>
        <w:t>, с учетом полученных позиций Минэкономразвития России и ФАС России осуществляет подготовку проекта соответствующего доклада в Правительство Российской Федерации.</w:t>
      </w:r>
    </w:p>
    <w:p w:rsidR="00BD4E0A" w:rsidRPr="002A03D6" w:rsidRDefault="00BD4E0A" w:rsidP="007C0F9E">
      <w:pPr>
        <w:spacing w:after="0" w:line="240" w:lineRule="auto"/>
        <w:ind w:firstLineChars="201" w:firstLine="563"/>
        <w:jc w:val="both"/>
        <w:rPr>
          <w:rFonts w:ascii="TimesNewRomanPSMT" w:hAnsi="TimesNewRomanPSMT" w:cs="TimesNewRomanPSMT"/>
          <w:i/>
          <w:sz w:val="28"/>
          <w:szCs w:val="28"/>
          <w:u w:val="single"/>
        </w:rPr>
      </w:pPr>
      <w:r w:rsidRPr="002A03D6">
        <w:rPr>
          <w:rFonts w:ascii="TimesNewRomanPSMT" w:hAnsi="TimesNewRomanPSMT" w:cs="TimesNewRomanPSMT"/>
          <w:i/>
          <w:sz w:val="28"/>
          <w:szCs w:val="28"/>
          <w:u w:val="single"/>
        </w:rPr>
        <w:t>Автомобильный транспорт</w:t>
      </w:r>
    </w:p>
    <w:p w:rsidR="00BD4E0A" w:rsidRPr="00FF692E" w:rsidRDefault="00FF692E" w:rsidP="007C0F9E">
      <w:pPr>
        <w:pStyle w:val="2"/>
        <w:shd w:val="clear" w:color="auto" w:fill="auto"/>
        <w:spacing w:after="0" w:line="240" w:lineRule="auto"/>
        <w:ind w:left="20" w:right="20" w:firstLineChars="201" w:firstLine="565"/>
        <w:jc w:val="both"/>
        <w:rPr>
          <w:b/>
          <w:sz w:val="28"/>
          <w:szCs w:val="28"/>
        </w:rPr>
      </w:pPr>
      <w:r w:rsidRPr="00FF692E">
        <w:rPr>
          <w:b/>
          <w:sz w:val="28"/>
          <w:szCs w:val="28"/>
        </w:rPr>
        <w:t xml:space="preserve">Пункт 3 </w:t>
      </w:r>
    </w:p>
    <w:p w:rsidR="00C56B3B" w:rsidRPr="00C56B3B" w:rsidRDefault="00C56B3B" w:rsidP="00514CB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B3B">
        <w:rPr>
          <w:rFonts w:ascii="Times New Roman" w:hAnsi="Times New Roman" w:cs="Times New Roman"/>
          <w:i/>
          <w:sz w:val="28"/>
          <w:szCs w:val="28"/>
        </w:rPr>
        <w:t>«Разработка и утверждение типового контракта для закупки уполномоченными органами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тарифам».</w:t>
      </w:r>
    </w:p>
    <w:p w:rsidR="00514CBA" w:rsidRPr="00514CBA" w:rsidRDefault="00514CBA" w:rsidP="00514CB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CBA">
        <w:rPr>
          <w:rFonts w:ascii="Times New Roman" w:hAnsi="Times New Roman" w:cs="Times New Roman"/>
          <w:sz w:val="28"/>
          <w:szCs w:val="28"/>
        </w:rPr>
        <w:t>Разработанный Минтранс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14CBA">
        <w:rPr>
          <w:rFonts w:ascii="Times New Roman" w:hAnsi="Times New Roman" w:cs="Times New Roman"/>
          <w:sz w:val="28"/>
          <w:szCs w:val="28"/>
        </w:rPr>
        <w:t xml:space="preserve"> России проект приказа Минтранса России «Об утверждении форм типовых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</w:t>
      </w:r>
      <w:r w:rsidRPr="00514CBA">
        <w:rPr>
          <w:rFonts w:ascii="Times New Roman" w:hAnsi="Times New Roman" w:cs="Times New Roman"/>
          <w:sz w:val="28"/>
          <w:szCs w:val="28"/>
        </w:rPr>
        <w:lastRenderedPageBreak/>
        <w:t>тарифам» письмом от 29 августа 2018 г. № НА-22/12488 направлен на согласование в Минфин России, Минэкономразвития России и в ФАС России.</w:t>
      </w:r>
    </w:p>
    <w:p w:rsidR="00514CBA" w:rsidRPr="00514CBA" w:rsidRDefault="00514CBA" w:rsidP="00514CB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CBA">
        <w:rPr>
          <w:rFonts w:ascii="Times New Roman" w:hAnsi="Times New Roman" w:cs="Times New Roman"/>
          <w:sz w:val="28"/>
          <w:szCs w:val="28"/>
        </w:rPr>
        <w:t xml:space="preserve">Проект приказа «Об утверждении форм типовых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тарифам» предварительно согласован Минфином России (письмо </w:t>
      </w:r>
      <w:r w:rsidR="002E238D">
        <w:rPr>
          <w:rFonts w:ascii="Times New Roman" w:hAnsi="Times New Roman" w:cs="Times New Roman"/>
          <w:sz w:val="28"/>
          <w:szCs w:val="28"/>
        </w:rPr>
        <w:br/>
      </w:r>
      <w:r w:rsidRPr="00514CBA">
        <w:rPr>
          <w:rFonts w:ascii="Times New Roman" w:hAnsi="Times New Roman" w:cs="Times New Roman"/>
          <w:sz w:val="28"/>
          <w:szCs w:val="28"/>
        </w:rPr>
        <w:t xml:space="preserve">от 11 октября 2018 г. № 24-05-07/73248), Минэкономразвития России (письмо </w:t>
      </w:r>
      <w:r w:rsidR="002E238D">
        <w:rPr>
          <w:rFonts w:ascii="Times New Roman" w:hAnsi="Times New Roman" w:cs="Times New Roman"/>
          <w:sz w:val="28"/>
          <w:szCs w:val="28"/>
        </w:rPr>
        <w:br/>
      </w:r>
      <w:r w:rsidRPr="00514CBA">
        <w:rPr>
          <w:rFonts w:ascii="Times New Roman" w:hAnsi="Times New Roman" w:cs="Times New Roman"/>
          <w:sz w:val="28"/>
          <w:szCs w:val="28"/>
        </w:rPr>
        <w:t>от 3 декабря 2018 г. № 35492-МР/Д18и) и ФАС России (письмо от 13 декабря 2018 г. № АР/102389/18).</w:t>
      </w:r>
    </w:p>
    <w:p w:rsidR="00722591" w:rsidRDefault="00514CBA" w:rsidP="00514CB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CBA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722591">
        <w:rPr>
          <w:rFonts w:ascii="Times New Roman" w:hAnsi="Times New Roman" w:cs="Times New Roman"/>
          <w:sz w:val="28"/>
          <w:szCs w:val="28"/>
        </w:rPr>
        <w:t xml:space="preserve">подлинник </w:t>
      </w:r>
      <w:r w:rsidRPr="00514CBA">
        <w:rPr>
          <w:rFonts w:ascii="Times New Roman" w:hAnsi="Times New Roman" w:cs="Times New Roman"/>
          <w:sz w:val="28"/>
          <w:szCs w:val="28"/>
        </w:rPr>
        <w:t>проект</w:t>
      </w:r>
      <w:r w:rsidR="00A67EC9">
        <w:rPr>
          <w:rFonts w:ascii="Times New Roman" w:hAnsi="Times New Roman" w:cs="Times New Roman"/>
          <w:sz w:val="28"/>
          <w:szCs w:val="28"/>
        </w:rPr>
        <w:t>а</w:t>
      </w:r>
      <w:r w:rsidRPr="00514CBA">
        <w:rPr>
          <w:rFonts w:ascii="Times New Roman" w:hAnsi="Times New Roman" w:cs="Times New Roman"/>
          <w:sz w:val="28"/>
          <w:szCs w:val="28"/>
        </w:rPr>
        <w:t xml:space="preserve"> приказа «Об утверждении типовых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и информационных карт к типовым контрактам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тарифам» </w:t>
      </w:r>
      <w:r w:rsidR="00722591">
        <w:rPr>
          <w:rFonts w:ascii="Times New Roman" w:hAnsi="Times New Roman" w:cs="Times New Roman"/>
          <w:sz w:val="28"/>
          <w:szCs w:val="28"/>
        </w:rPr>
        <w:t>(в</w:t>
      </w:r>
      <w:r w:rsidR="00722591" w:rsidRPr="00722591">
        <w:rPr>
          <w:rFonts w:ascii="Times New Roman" w:hAnsi="Times New Roman" w:cs="Times New Roman"/>
          <w:sz w:val="28"/>
          <w:szCs w:val="28"/>
        </w:rPr>
        <w:t xml:space="preserve"> соответствии с пунктом 3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</w:t>
      </w:r>
      <w:r w:rsidR="00722591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13 августа </w:t>
      </w:r>
      <w:r w:rsidR="00722591" w:rsidRPr="00722591">
        <w:rPr>
          <w:rFonts w:ascii="Times New Roman" w:hAnsi="Times New Roman" w:cs="Times New Roman"/>
          <w:sz w:val="28"/>
          <w:szCs w:val="28"/>
        </w:rPr>
        <w:t>1997</w:t>
      </w:r>
      <w:r w:rsidR="00722591">
        <w:rPr>
          <w:rFonts w:ascii="Times New Roman" w:hAnsi="Times New Roman" w:cs="Times New Roman"/>
          <w:sz w:val="28"/>
          <w:szCs w:val="28"/>
        </w:rPr>
        <w:t xml:space="preserve"> г.</w:t>
      </w:r>
      <w:r w:rsidR="00722591" w:rsidRPr="00722591">
        <w:rPr>
          <w:rFonts w:ascii="Times New Roman" w:hAnsi="Times New Roman" w:cs="Times New Roman"/>
          <w:sz w:val="28"/>
          <w:szCs w:val="28"/>
        </w:rPr>
        <w:t xml:space="preserve"> № 1009</w:t>
      </w:r>
      <w:r w:rsidR="00722591">
        <w:rPr>
          <w:rFonts w:ascii="Times New Roman" w:hAnsi="Times New Roman" w:cs="Times New Roman"/>
          <w:sz w:val="28"/>
          <w:szCs w:val="28"/>
        </w:rPr>
        <w:t xml:space="preserve">) </w:t>
      </w:r>
      <w:r w:rsidR="00722591" w:rsidRPr="00722591">
        <w:rPr>
          <w:rFonts w:ascii="Times New Roman" w:hAnsi="Times New Roman" w:cs="Times New Roman"/>
          <w:sz w:val="28"/>
          <w:szCs w:val="28"/>
        </w:rPr>
        <w:t>завизирован ФАС России и письмом от 21</w:t>
      </w:r>
      <w:r w:rsidR="00F5179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22591" w:rsidRPr="00722591">
        <w:rPr>
          <w:rFonts w:ascii="Times New Roman" w:hAnsi="Times New Roman" w:cs="Times New Roman"/>
          <w:sz w:val="28"/>
          <w:szCs w:val="28"/>
        </w:rPr>
        <w:t>2018</w:t>
      </w:r>
      <w:r w:rsidR="00F5179A">
        <w:rPr>
          <w:rFonts w:ascii="Times New Roman" w:hAnsi="Times New Roman" w:cs="Times New Roman"/>
          <w:sz w:val="28"/>
          <w:szCs w:val="28"/>
        </w:rPr>
        <w:t xml:space="preserve"> г. </w:t>
      </w:r>
      <w:r w:rsidR="00722591" w:rsidRPr="00722591">
        <w:rPr>
          <w:rFonts w:ascii="Times New Roman" w:hAnsi="Times New Roman" w:cs="Times New Roman"/>
          <w:sz w:val="28"/>
          <w:szCs w:val="28"/>
        </w:rPr>
        <w:t>№ АС-22/19177 направлен на визирование в Минфин России.</w:t>
      </w:r>
    </w:p>
    <w:p w:rsidR="00BD4E0A" w:rsidRPr="00FF692E" w:rsidRDefault="00FF692E" w:rsidP="007C0F9E">
      <w:pPr>
        <w:spacing w:after="0" w:line="240" w:lineRule="auto"/>
        <w:ind w:firstLineChars="201" w:firstLine="56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92E">
        <w:rPr>
          <w:rFonts w:ascii="Times New Roman" w:hAnsi="Times New Roman" w:cs="Times New Roman"/>
          <w:b/>
          <w:sz w:val="28"/>
          <w:szCs w:val="28"/>
        </w:rPr>
        <w:t xml:space="preserve">Пункт 4 </w:t>
      </w:r>
    </w:p>
    <w:p w:rsidR="009A4FCA" w:rsidRPr="009A4FCA" w:rsidRDefault="009A4FCA" w:rsidP="00514CB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FCA">
        <w:rPr>
          <w:rFonts w:ascii="Times New Roman" w:hAnsi="Times New Roman" w:cs="Times New Roman"/>
          <w:i/>
          <w:sz w:val="28"/>
          <w:szCs w:val="28"/>
        </w:rPr>
        <w:t>«Разработка проекта федерального закона, предусматривающего внесение изменений в статью 34 Федерального закона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направленных на установление единого перечня обязательных платных услуг в зданиях и на территориях автовокзалов и автостанций, а также формирование правил взимания сборов за их оказание».</w:t>
      </w:r>
    </w:p>
    <w:p w:rsidR="00514CBA" w:rsidRPr="00514CBA" w:rsidRDefault="00514CBA" w:rsidP="00514CB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CBA">
        <w:rPr>
          <w:rFonts w:ascii="Times New Roman" w:hAnsi="Times New Roman" w:cs="Times New Roman"/>
          <w:sz w:val="28"/>
          <w:szCs w:val="28"/>
        </w:rPr>
        <w:t>Минтранс России письмом от 15 августа 2018 г. № СА-10/11789 внес в Правительство Российской Федерации доработанный с учетом замечаний Государственно-правового управления Президента Российской Федерации, изложенных в письме от 4 июля 2018 г. № А6-7363, проект федерального закона «О внесении изменений в статью 34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проект федерального закона).</w:t>
      </w:r>
    </w:p>
    <w:p w:rsidR="00514CBA" w:rsidRPr="00514CBA" w:rsidRDefault="002E238D" w:rsidP="00514CB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4CBA">
        <w:rPr>
          <w:rFonts w:ascii="Times New Roman" w:hAnsi="Times New Roman" w:cs="Times New Roman"/>
          <w:sz w:val="28"/>
          <w:szCs w:val="28"/>
        </w:rPr>
        <w:t xml:space="preserve">роект федерального закона был возвращен </w:t>
      </w:r>
      <w:r w:rsidR="00514CBA" w:rsidRPr="00514CBA">
        <w:rPr>
          <w:rFonts w:ascii="Times New Roman" w:hAnsi="Times New Roman" w:cs="Times New Roman"/>
          <w:sz w:val="28"/>
          <w:szCs w:val="28"/>
        </w:rPr>
        <w:t xml:space="preserve">23 августа 2018 г., ввиду отсутствия согласований заинтересованных федеральных органов исполнительной власти, доработанной редакции проекта федерального закона по замечаниям Государственно-правового управления Президента Российской Федерации, а также отсутствия заключения Института законодательства и сравнительного правоведения </w:t>
      </w:r>
      <w:r w:rsidR="00514CBA" w:rsidRPr="00514CBA">
        <w:rPr>
          <w:rFonts w:ascii="Times New Roman" w:hAnsi="Times New Roman" w:cs="Times New Roman"/>
          <w:sz w:val="28"/>
          <w:szCs w:val="28"/>
        </w:rPr>
        <w:lastRenderedPageBreak/>
        <w:t>при Правительстве Российской Федерации (письмо Аппарата Правитель</w:t>
      </w:r>
      <w:r w:rsidR="00F912C1">
        <w:rPr>
          <w:rFonts w:ascii="Times New Roman" w:hAnsi="Times New Roman" w:cs="Times New Roman"/>
          <w:sz w:val="28"/>
          <w:szCs w:val="28"/>
        </w:rPr>
        <w:t>ства Российской Федерации от 23</w:t>
      </w:r>
      <w:r w:rsidR="00F912C1" w:rsidRPr="00F912C1">
        <w:t xml:space="preserve"> </w:t>
      </w:r>
      <w:r w:rsidR="00F912C1" w:rsidRPr="00F912C1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514CBA" w:rsidRPr="00514CBA">
        <w:rPr>
          <w:rFonts w:ascii="Times New Roman" w:hAnsi="Times New Roman" w:cs="Times New Roman"/>
          <w:sz w:val="28"/>
          <w:szCs w:val="28"/>
        </w:rPr>
        <w:t xml:space="preserve">2018 </w:t>
      </w:r>
      <w:r w:rsidR="003202FD" w:rsidRPr="003202FD">
        <w:rPr>
          <w:rFonts w:ascii="Times New Roman" w:hAnsi="Times New Roman" w:cs="Times New Roman"/>
          <w:sz w:val="28"/>
          <w:szCs w:val="28"/>
        </w:rPr>
        <w:t xml:space="preserve">г. </w:t>
      </w:r>
      <w:r w:rsidR="00514CBA" w:rsidRPr="00514CBA">
        <w:rPr>
          <w:rFonts w:ascii="Times New Roman" w:hAnsi="Times New Roman" w:cs="Times New Roman"/>
          <w:sz w:val="28"/>
          <w:szCs w:val="28"/>
        </w:rPr>
        <w:t>№ П9-43687).</w:t>
      </w:r>
    </w:p>
    <w:p w:rsidR="00514CBA" w:rsidRPr="00514CBA" w:rsidRDefault="00F912C1" w:rsidP="00514CB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4CBA">
        <w:rPr>
          <w:rFonts w:ascii="Times New Roman" w:hAnsi="Times New Roman" w:cs="Times New Roman"/>
          <w:sz w:val="28"/>
          <w:szCs w:val="28"/>
        </w:rPr>
        <w:t xml:space="preserve">исьмом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14CBA" w:rsidRPr="00514CBA">
        <w:rPr>
          <w:rFonts w:ascii="Times New Roman" w:hAnsi="Times New Roman" w:cs="Times New Roman"/>
          <w:sz w:val="28"/>
          <w:szCs w:val="28"/>
        </w:rPr>
        <w:t>6 ноября 2018 г. № ЕД-10/16371 проект федерального закона повторно внесен в Правительство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CBA" w:rsidRPr="00514CBA" w:rsidRDefault="00514CBA" w:rsidP="00514CB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CBA">
        <w:rPr>
          <w:rFonts w:ascii="Times New Roman" w:hAnsi="Times New Roman" w:cs="Times New Roman"/>
          <w:sz w:val="28"/>
          <w:szCs w:val="28"/>
        </w:rPr>
        <w:t>Проект федерального закона согласован без замечаний Минэкономразвития России и Минфином России.</w:t>
      </w:r>
    </w:p>
    <w:p w:rsidR="00514CBA" w:rsidRPr="00514CBA" w:rsidRDefault="00514CBA" w:rsidP="00514CB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CBA">
        <w:rPr>
          <w:rFonts w:ascii="Times New Roman" w:hAnsi="Times New Roman" w:cs="Times New Roman"/>
          <w:sz w:val="28"/>
          <w:szCs w:val="28"/>
        </w:rPr>
        <w:t>Получено положительное заключение Института законодательства и сравнительного правоведения при Пра</w:t>
      </w:r>
      <w:r w:rsidR="000C3151">
        <w:rPr>
          <w:rFonts w:ascii="Times New Roman" w:hAnsi="Times New Roman" w:cs="Times New Roman"/>
          <w:sz w:val="28"/>
          <w:szCs w:val="28"/>
        </w:rPr>
        <w:t>вительстве Российской Федерации</w:t>
      </w:r>
      <w:r w:rsidRPr="00514CBA">
        <w:rPr>
          <w:rFonts w:ascii="Times New Roman" w:hAnsi="Times New Roman" w:cs="Times New Roman"/>
          <w:sz w:val="28"/>
          <w:szCs w:val="28"/>
        </w:rPr>
        <w:t>.</w:t>
      </w:r>
    </w:p>
    <w:p w:rsidR="00514CBA" w:rsidRDefault="00514CBA" w:rsidP="00514CB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CBA">
        <w:rPr>
          <w:rFonts w:ascii="Times New Roman" w:hAnsi="Times New Roman" w:cs="Times New Roman"/>
          <w:sz w:val="28"/>
          <w:szCs w:val="28"/>
        </w:rPr>
        <w:t>На проект федерального закона получены замечания ФАС России</w:t>
      </w:r>
      <w:r w:rsidR="003D1884">
        <w:rPr>
          <w:rFonts w:ascii="Times New Roman" w:hAnsi="Times New Roman" w:cs="Times New Roman"/>
          <w:sz w:val="28"/>
          <w:szCs w:val="28"/>
        </w:rPr>
        <w:t xml:space="preserve"> (</w:t>
      </w:r>
      <w:r w:rsidR="003D1884" w:rsidRPr="003D1884">
        <w:rPr>
          <w:rFonts w:ascii="Times New Roman" w:hAnsi="Times New Roman" w:cs="Times New Roman"/>
          <w:sz w:val="28"/>
          <w:szCs w:val="28"/>
        </w:rPr>
        <w:t>письм</w:t>
      </w:r>
      <w:r w:rsidR="003D1884">
        <w:rPr>
          <w:rFonts w:ascii="Times New Roman" w:hAnsi="Times New Roman" w:cs="Times New Roman"/>
          <w:sz w:val="28"/>
          <w:szCs w:val="28"/>
        </w:rPr>
        <w:t>о</w:t>
      </w:r>
      <w:r w:rsidR="003202FD">
        <w:rPr>
          <w:rFonts w:ascii="Times New Roman" w:hAnsi="Times New Roman" w:cs="Times New Roman"/>
          <w:sz w:val="28"/>
          <w:szCs w:val="28"/>
        </w:rPr>
        <w:t xml:space="preserve"> </w:t>
      </w:r>
      <w:r w:rsidR="003202FD">
        <w:rPr>
          <w:rFonts w:ascii="Times New Roman" w:hAnsi="Times New Roman" w:cs="Times New Roman"/>
          <w:sz w:val="28"/>
          <w:szCs w:val="28"/>
        </w:rPr>
        <w:br/>
        <w:t>от 19 сентября г.</w:t>
      </w:r>
      <w:r w:rsidR="003D1884" w:rsidRPr="003D1884">
        <w:rPr>
          <w:rFonts w:ascii="Times New Roman" w:hAnsi="Times New Roman" w:cs="Times New Roman"/>
          <w:sz w:val="28"/>
          <w:szCs w:val="28"/>
        </w:rPr>
        <w:t>2018 № АР/75070/18</w:t>
      </w:r>
      <w:r w:rsidR="003D1884">
        <w:rPr>
          <w:rFonts w:ascii="Times New Roman" w:hAnsi="Times New Roman" w:cs="Times New Roman"/>
          <w:sz w:val="28"/>
          <w:szCs w:val="28"/>
        </w:rPr>
        <w:t>)</w:t>
      </w:r>
      <w:r w:rsidRPr="00514CBA">
        <w:rPr>
          <w:rFonts w:ascii="Times New Roman" w:hAnsi="Times New Roman" w:cs="Times New Roman"/>
          <w:sz w:val="28"/>
          <w:szCs w:val="28"/>
        </w:rPr>
        <w:t xml:space="preserve">. По замечаниям, указанным в письме ФАС России, проведено согласительное совещание. По итогам согласительного совещания подписаны протокол </w:t>
      </w:r>
      <w:r w:rsidR="003D1884">
        <w:rPr>
          <w:rFonts w:ascii="Times New Roman" w:hAnsi="Times New Roman" w:cs="Times New Roman"/>
          <w:sz w:val="28"/>
          <w:szCs w:val="28"/>
        </w:rPr>
        <w:t>(</w:t>
      </w:r>
      <w:r w:rsidR="003202FD">
        <w:rPr>
          <w:rFonts w:ascii="Times New Roman" w:hAnsi="Times New Roman" w:cs="Times New Roman"/>
          <w:sz w:val="28"/>
          <w:szCs w:val="28"/>
        </w:rPr>
        <w:t>от 15</w:t>
      </w:r>
      <w:r w:rsidR="003202FD" w:rsidRPr="003202FD">
        <w:t xml:space="preserve"> </w:t>
      </w:r>
      <w:r w:rsidR="003202FD" w:rsidRPr="003202FD">
        <w:rPr>
          <w:rFonts w:ascii="Times New Roman" w:hAnsi="Times New Roman" w:cs="Times New Roman"/>
          <w:sz w:val="28"/>
          <w:szCs w:val="28"/>
        </w:rPr>
        <w:t>октября</w:t>
      </w:r>
      <w:r w:rsidR="003202FD">
        <w:rPr>
          <w:rFonts w:ascii="Times New Roman" w:hAnsi="Times New Roman" w:cs="Times New Roman"/>
          <w:sz w:val="28"/>
          <w:szCs w:val="28"/>
        </w:rPr>
        <w:t xml:space="preserve"> г.</w:t>
      </w:r>
      <w:r w:rsidR="003202FD" w:rsidRPr="003202FD">
        <w:rPr>
          <w:rFonts w:ascii="Times New Roman" w:hAnsi="Times New Roman" w:cs="Times New Roman"/>
          <w:sz w:val="28"/>
          <w:szCs w:val="28"/>
        </w:rPr>
        <w:t xml:space="preserve"> </w:t>
      </w:r>
      <w:r w:rsidR="003D1884" w:rsidRPr="003D1884">
        <w:rPr>
          <w:rFonts w:ascii="Times New Roman" w:hAnsi="Times New Roman" w:cs="Times New Roman"/>
          <w:sz w:val="28"/>
          <w:szCs w:val="28"/>
        </w:rPr>
        <w:t>2018 № СА-60</w:t>
      </w:r>
      <w:r w:rsidR="003D1884">
        <w:rPr>
          <w:rFonts w:ascii="Times New Roman" w:hAnsi="Times New Roman" w:cs="Times New Roman"/>
          <w:sz w:val="28"/>
          <w:szCs w:val="28"/>
        </w:rPr>
        <w:t xml:space="preserve">) </w:t>
      </w:r>
      <w:r w:rsidRPr="00514CBA">
        <w:rPr>
          <w:rFonts w:ascii="Times New Roman" w:hAnsi="Times New Roman" w:cs="Times New Roman"/>
          <w:sz w:val="28"/>
          <w:szCs w:val="28"/>
        </w:rPr>
        <w:t>и таблица разногласий по замечаниям ФАС России.</w:t>
      </w:r>
      <w:r w:rsidR="008E7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CBA" w:rsidRPr="00514CBA" w:rsidRDefault="00514CBA" w:rsidP="00514CB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CBA">
        <w:rPr>
          <w:rFonts w:ascii="Times New Roman" w:hAnsi="Times New Roman" w:cs="Times New Roman"/>
          <w:sz w:val="28"/>
          <w:szCs w:val="28"/>
        </w:rPr>
        <w:t xml:space="preserve">В установленном порядке на проект федерального закона получено заключение Минюста России от 17 октября 2018 г. № 09/137043-ЮЛ с замечаниями, которые учтены в полном объеме. В соответствии с заключением Минюста России </w:t>
      </w:r>
      <w:proofErr w:type="spellStart"/>
      <w:r w:rsidRPr="00514CBA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14CBA">
        <w:rPr>
          <w:rFonts w:ascii="Times New Roman" w:hAnsi="Times New Roman" w:cs="Times New Roman"/>
          <w:sz w:val="28"/>
          <w:szCs w:val="28"/>
        </w:rPr>
        <w:t xml:space="preserve"> факторы в проекте федерального закона не выявлены.</w:t>
      </w:r>
    </w:p>
    <w:p w:rsidR="00514CBA" w:rsidRPr="00662104" w:rsidRDefault="00514CBA" w:rsidP="00514CB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CBA">
        <w:rPr>
          <w:rFonts w:ascii="Times New Roman" w:hAnsi="Times New Roman" w:cs="Times New Roman"/>
          <w:sz w:val="28"/>
          <w:szCs w:val="28"/>
        </w:rPr>
        <w:t>В настоящее время проект федерального закона направлен в Государственно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4CBA">
        <w:rPr>
          <w:rFonts w:ascii="Times New Roman" w:hAnsi="Times New Roman" w:cs="Times New Roman"/>
          <w:sz w:val="28"/>
          <w:szCs w:val="28"/>
        </w:rPr>
        <w:t>правовое управление Президента Российской Федерации.</w:t>
      </w:r>
    </w:p>
    <w:p w:rsidR="002C40BA" w:rsidRPr="002A03D6" w:rsidRDefault="00907975" w:rsidP="007C0F9E">
      <w:pPr>
        <w:pStyle w:val="a3"/>
        <w:shd w:val="clear" w:color="auto" w:fill="FFFFFF"/>
        <w:spacing w:before="0" w:beforeAutospacing="0" w:after="0" w:afterAutospacing="0"/>
        <w:ind w:firstLineChars="201" w:firstLine="563"/>
        <w:textAlignment w:val="baseline"/>
        <w:rPr>
          <w:i/>
          <w:sz w:val="28"/>
          <w:szCs w:val="28"/>
          <w:u w:val="single"/>
        </w:rPr>
      </w:pPr>
      <w:r w:rsidRPr="002A03D6">
        <w:rPr>
          <w:i/>
          <w:sz w:val="28"/>
          <w:szCs w:val="28"/>
          <w:u w:val="single"/>
        </w:rPr>
        <w:t xml:space="preserve">Морской </w:t>
      </w:r>
      <w:r w:rsidR="00B26DB7" w:rsidRPr="002A03D6">
        <w:rPr>
          <w:i/>
          <w:sz w:val="28"/>
          <w:szCs w:val="28"/>
          <w:u w:val="single"/>
        </w:rPr>
        <w:t xml:space="preserve">и речной </w:t>
      </w:r>
      <w:r w:rsidRPr="002A03D6">
        <w:rPr>
          <w:i/>
          <w:sz w:val="28"/>
          <w:szCs w:val="28"/>
          <w:u w:val="single"/>
        </w:rPr>
        <w:t>транспорт</w:t>
      </w:r>
    </w:p>
    <w:p w:rsidR="007D4DF5" w:rsidRDefault="007D4DF5" w:rsidP="006302AC">
      <w:pPr>
        <w:spacing w:after="0" w:line="240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DF5">
        <w:rPr>
          <w:rFonts w:ascii="Times New Roman" w:hAnsi="Times New Roman" w:cs="Times New Roman"/>
          <w:b/>
          <w:sz w:val="28"/>
          <w:szCs w:val="28"/>
        </w:rPr>
        <w:t>Пункт 13</w:t>
      </w:r>
    </w:p>
    <w:p w:rsidR="00743E3D" w:rsidRPr="00743E3D" w:rsidRDefault="00743E3D" w:rsidP="006302AC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E3D">
        <w:rPr>
          <w:rFonts w:ascii="Times New Roman" w:hAnsi="Times New Roman" w:cs="Times New Roman"/>
          <w:i/>
          <w:sz w:val="28"/>
          <w:szCs w:val="28"/>
        </w:rPr>
        <w:t xml:space="preserve">«Разработка </w:t>
      </w:r>
      <w:r w:rsidR="000C3151" w:rsidRPr="00743E3D">
        <w:rPr>
          <w:rFonts w:ascii="Times New Roman" w:hAnsi="Times New Roman" w:cs="Times New Roman"/>
          <w:i/>
          <w:sz w:val="28"/>
          <w:szCs w:val="28"/>
        </w:rPr>
        <w:t>транспортн</w:t>
      </w:r>
      <w:r w:rsidR="000C3151">
        <w:rPr>
          <w:rFonts w:ascii="Times New Roman" w:hAnsi="Times New Roman" w:cs="Times New Roman"/>
          <w:i/>
          <w:sz w:val="28"/>
          <w:szCs w:val="28"/>
        </w:rPr>
        <w:t>ого</w:t>
      </w:r>
      <w:r w:rsidR="000C3151" w:rsidRPr="00743E3D">
        <w:rPr>
          <w:rFonts w:ascii="Times New Roman" w:hAnsi="Times New Roman" w:cs="Times New Roman"/>
          <w:i/>
          <w:sz w:val="28"/>
          <w:szCs w:val="28"/>
        </w:rPr>
        <w:t xml:space="preserve"> баланса </w:t>
      </w:r>
      <w:r w:rsidRPr="00743E3D">
        <w:rPr>
          <w:rFonts w:ascii="Times New Roman" w:hAnsi="Times New Roman" w:cs="Times New Roman"/>
          <w:i/>
          <w:sz w:val="28"/>
          <w:szCs w:val="28"/>
        </w:rPr>
        <w:t>железнодорожного, трубопроводного, водного и автомобильного транспорта, а также выработка соответствующих механизмов регулирования межвидовой конкуренции в сфере грузовых и пассажирских перевозок».</w:t>
      </w:r>
    </w:p>
    <w:p w:rsidR="006C7D65" w:rsidRPr="006C7D65" w:rsidRDefault="006C7D65" w:rsidP="006C7D65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5">
        <w:rPr>
          <w:rFonts w:ascii="Times New Roman" w:hAnsi="Times New Roman" w:cs="Times New Roman"/>
          <w:sz w:val="28"/>
          <w:szCs w:val="28"/>
        </w:rPr>
        <w:t xml:space="preserve">В настоящее время расчет транспортно-экономического баланса Российской Федерации (далее – ТЭБ) реализуется в составе информационно-аналитической системы регулирования на транспорте (далее – АСУ ТК). </w:t>
      </w:r>
    </w:p>
    <w:p w:rsidR="006C7D65" w:rsidRPr="006C7D65" w:rsidRDefault="006C7D65" w:rsidP="006C7D65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5">
        <w:rPr>
          <w:rFonts w:ascii="Times New Roman" w:hAnsi="Times New Roman" w:cs="Times New Roman"/>
          <w:sz w:val="28"/>
          <w:szCs w:val="28"/>
        </w:rPr>
        <w:t xml:space="preserve">В августе 2018 г. в рамках АСУ ТК завершены работы по созданию функциональной задачи «Моделирование транспортных потоков» (далее – </w:t>
      </w:r>
      <w:r w:rsidR="009D6CC4">
        <w:rPr>
          <w:rFonts w:ascii="Times New Roman" w:hAnsi="Times New Roman" w:cs="Times New Roman"/>
          <w:sz w:val="28"/>
          <w:szCs w:val="28"/>
        </w:rPr>
        <w:br/>
      </w:r>
      <w:r w:rsidRPr="006C7D65">
        <w:rPr>
          <w:rFonts w:ascii="Times New Roman" w:hAnsi="Times New Roman" w:cs="Times New Roman"/>
          <w:sz w:val="28"/>
          <w:szCs w:val="28"/>
        </w:rPr>
        <w:t xml:space="preserve">ФЗ «МТП»). Моделирование грузовых, пассажирских и транспортных потоков необходимо для обоснования инвестиций в развитие транспортного комплекса Российской Федерации, а также выработки сбалансированной государственной политики в области транспорта в части развития элементов транспортной сети. </w:t>
      </w:r>
    </w:p>
    <w:p w:rsidR="006C7D65" w:rsidRPr="006C7D65" w:rsidRDefault="006C7D65" w:rsidP="006C7D65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5">
        <w:rPr>
          <w:rFonts w:ascii="Times New Roman" w:hAnsi="Times New Roman" w:cs="Times New Roman"/>
          <w:sz w:val="28"/>
          <w:szCs w:val="28"/>
        </w:rPr>
        <w:t xml:space="preserve">ФЗ «МТП» на уровне макромодели транспортной сети Российской Федерации позволяет осуществлять прогноз грузовых, пассажирских и транспортных потоков и уровней загрузки объектов транспортной инфраструктуры; выявлять «узкие места» в транспортной сети; проводить анализ влияния дополнительных объемов перевозок на возникновение новых «узких мест»; давать оценку резервов пропускных и провозных способностей объектов транспортной инфраструктуры; проводить сравнение альтернативных маршрутов перевозок грузов и пассажиров по критериям стоимости, времени, расстояния. </w:t>
      </w:r>
    </w:p>
    <w:p w:rsidR="006C7D65" w:rsidRPr="006C7D65" w:rsidRDefault="006C7D65" w:rsidP="006C7D65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5">
        <w:rPr>
          <w:rFonts w:ascii="Times New Roman" w:hAnsi="Times New Roman" w:cs="Times New Roman"/>
          <w:sz w:val="28"/>
          <w:szCs w:val="28"/>
        </w:rPr>
        <w:t xml:space="preserve">Кроме того, возможно проведение многокритериального анализа целесообразности и эффективности выполнения 2 перевозок грузов и пассажиров по </w:t>
      </w:r>
      <w:r w:rsidRPr="006C7D65">
        <w:rPr>
          <w:rFonts w:ascii="Times New Roman" w:hAnsi="Times New Roman" w:cs="Times New Roman"/>
          <w:sz w:val="28"/>
          <w:szCs w:val="28"/>
        </w:rPr>
        <w:lastRenderedPageBreak/>
        <w:t xml:space="preserve">заданным маршрутам конкретным видом транспорта; анализа перераспределения грузовых, пассажирских и транспортных потоков в результате реализации мероприятий по развитию объектов транспортной инфраструктуры; анализа изменения временных и стоимостных показателей основных маршрутов перевозок грузов и пассажиров в результате реализации мероприятий по развитию объектов транспортной инфраструктуры. </w:t>
      </w:r>
    </w:p>
    <w:p w:rsidR="006C7D65" w:rsidRPr="006C7D65" w:rsidRDefault="006C7D65" w:rsidP="006C7D65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5">
        <w:rPr>
          <w:rFonts w:ascii="Times New Roman" w:hAnsi="Times New Roman" w:cs="Times New Roman"/>
          <w:sz w:val="28"/>
          <w:szCs w:val="28"/>
        </w:rPr>
        <w:t xml:space="preserve">В целях учета данных трубопроводного транспорта при расчете ТЭБ подготовлены проект соглашения об информационном взаимодействии и проект регламента информационного взаимодействия между Минтрансом России и Минэнерго России в части сбора и обработки информации </w:t>
      </w:r>
      <w:proofErr w:type="spellStart"/>
      <w:r w:rsidRPr="006C7D65">
        <w:rPr>
          <w:rFonts w:ascii="Times New Roman" w:hAnsi="Times New Roman" w:cs="Times New Roman"/>
          <w:sz w:val="28"/>
          <w:szCs w:val="28"/>
        </w:rPr>
        <w:t>топливноэнергетического</w:t>
      </w:r>
      <w:proofErr w:type="spellEnd"/>
      <w:r w:rsidRPr="006C7D65">
        <w:rPr>
          <w:rFonts w:ascii="Times New Roman" w:hAnsi="Times New Roman" w:cs="Times New Roman"/>
          <w:sz w:val="28"/>
          <w:szCs w:val="28"/>
        </w:rPr>
        <w:t xml:space="preserve"> и нефтехимического комплекса средствами АСУ ТК из федеральной государственной информационной системы, содержащей информацию о состоянии и прогнозе развития топливно-энергетического комплекса Российской Федерации (ГИС ТЭК). </w:t>
      </w:r>
    </w:p>
    <w:p w:rsidR="006C7D65" w:rsidRDefault="006C7D65" w:rsidP="006C7D65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D65">
        <w:rPr>
          <w:rFonts w:ascii="Times New Roman" w:hAnsi="Times New Roman" w:cs="Times New Roman"/>
          <w:sz w:val="28"/>
          <w:szCs w:val="28"/>
        </w:rPr>
        <w:t xml:space="preserve">Также в рамках работ по АСУ ТК предполагается модернизация функциональной задачи АСУ ТК «Формирование и ведение транспортно-экономического баланса Российской Федерации» с учетом трубопроводного транспорта, предусматривающая доработку методологии сбора данных, формирования и ведения ТЭБ с учетом трубопроводного транспорта; модернизацию информационного, программного обеспечения и процедур расчета ТЭБ; наполнение АСУ ТК данными по трубопроводному транспорту и перерасчет ТЭБ с их учетом за 2015, 2016, 2017 годы. </w:t>
      </w:r>
    </w:p>
    <w:p w:rsidR="00F912C1" w:rsidRPr="006C7D65" w:rsidRDefault="00F912C1" w:rsidP="006C7D65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Соответствующий доклад в Аппарат Правительства </w:t>
      </w:r>
      <w:r w:rsidRPr="00F912C1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направлен письмом от </w:t>
      </w:r>
      <w:r w:rsidRPr="00F912C1">
        <w:rPr>
          <w:rFonts w:ascii="Times New Roman" w:hAnsi="Times New Roman" w:cs="Times New Roman"/>
          <w:sz w:val="28"/>
          <w:szCs w:val="28"/>
        </w:rPr>
        <w:t>12</w:t>
      </w:r>
      <w:r w:rsidR="003202F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912C1">
        <w:rPr>
          <w:rFonts w:ascii="Times New Roman" w:hAnsi="Times New Roman" w:cs="Times New Roman"/>
          <w:sz w:val="28"/>
          <w:szCs w:val="28"/>
        </w:rPr>
        <w:t>2018</w:t>
      </w:r>
      <w:r w:rsidR="003202FD">
        <w:rPr>
          <w:rFonts w:ascii="Times New Roman" w:hAnsi="Times New Roman" w:cs="Times New Roman"/>
          <w:sz w:val="28"/>
          <w:szCs w:val="28"/>
        </w:rPr>
        <w:t xml:space="preserve"> г.</w:t>
      </w:r>
      <w:r w:rsidR="00BF53CA">
        <w:rPr>
          <w:rFonts w:ascii="Times New Roman" w:hAnsi="Times New Roman" w:cs="Times New Roman"/>
          <w:sz w:val="28"/>
          <w:szCs w:val="28"/>
        </w:rPr>
        <w:t xml:space="preserve"> № </w:t>
      </w:r>
      <w:r w:rsidR="00BF53CA" w:rsidRPr="00BF53CA">
        <w:rPr>
          <w:rFonts w:ascii="Times New Roman" w:hAnsi="Times New Roman" w:cs="Times New Roman"/>
          <w:sz w:val="28"/>
          <w:szCs w:val="28"/>
        </w:rPr>
        <w:t>ЮЦ-11/15114</w:t>
      </w:r>
      <w:r w:rsidR="00BF53CA">
        <w:rPr>
          <w:rFonts w:ascii="Times New Roman" w:hAnsi="Times New Roman" w:cs="Times New Roman"/>
          <w:sz w:val="28"/>
          <w:szCs w:val="28"/>
        </w:rPr>
        <w:t>.</w:t>
      </w:r>
    </w:p>
    <w:p w:rsidR="00B96409" w:rsidRPr="002A03D6" w:rsidRDefault="00B96409" w:rsidP="007C0F9E">
      <w:pPr>
        <w:spacing w:after="0" w:line="260" w:lineRule="exact"/>
        <w:ind w:left="40" w:firstLineChars="201" w:firstLine="563"/>
        <w:rPr>
          <w:rStyle w:val="21"/>
          <w:rFonts w:eastAsiaTheme="minorHAnsi"/>
          <w:i w:val="0"/>
          <w:iCs w:val="0"/>
          <w:sz w:val="28"/>
          <w:szCs w:val="28"/>
        </w:rPr>
      </w:pPr>
      <w:proofErr w:type="gramStart"/>
      <w:r w:rsidRPr="002A03D6">
        <w:rPr>
          <w:rFonts w:ascii="TimesNewRomanPSMT" w:hAnsi="TimesNewRomanPSMT" w:cs="TimesNewRomanPSMT"/>
          <w:i/>
          <w:sz w:val="28"/>
          <w:szCs w:val="28"/>
          <w:u w:val="single"/>
        </w:rPr>
        <w:t>Воздушный  транспорт</w:t>
      </w:r>
      <w:proofErr w:type="gramEnd"/>
      <w:r w:rsidRPr="002A03D6">
        <w:rPr>
          <w:rStyle w:val="21"/>
          <w:rFonts w:eastAsiaTheme="minorHAnsi"/>
          <w:i w:val="0"/>
          <w:iCs w:val="0"/>
          <w:sz w:val="28"/>
          <w:szCs w:val="28"/>
        </w:rPr>
        <w:t xml:space="preserve"> </w:t>
      </w:r>
    </w:p>
    <w:p w:rsidR="009D2AC6" w:rsidRDefault="009D2AC6" w:rsidP="007C0F9E">
      <w:pPr>
        <w:spacing w:after="0" w:line="322" w:lineRule="exact"/>
        <w:ind w:left="20"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D6">
        <w:rPr>
          <w:rFonts w:ascii="Times New Roman" w:hAnsi="Times New Roman" w:cs="Times New Roman"/>
          <w:b/>
          <w:sz w:val="28"/>
          <w:szCs w:val="28"/>
        </w:rPr>
        <w:t>Пункт 16</w:t>
      </w:r>
    </w:p>
    <w:p w:rsidR="00544301" w:rsidRPr="00544301" w:rsidRDefault="00C3004B" w:rsidP="007C0F9E">
      <w:pPr>
        <w:spacing w:after="0" w:line="322" w:lineRule="exact"/>
        <w:ind w:left="20" w:firstLineChars="201" w:firstLine="56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544301" w:rsidRPr="00544301">
        <w:rPr>
          <w:rFonts w:ascii="Times New Roman" w:hAnsi="Times New Roman" w:cs="Times New Roman"/>
          <w:i/>
          <w:sz w:val="28"/>
          <w:szCs w:val="28"/>
        </w:rPr>
        <w:t>Увеличение количества межправительственных соглашений о воздушном сообщении, в котором сняты или смягчены ограничения по числу перевозчиков, установленным маршрутам, частотам и тарифам на взаимной основе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544301" w:rsidRPr="00544301">
        <w:rPr>
          <w:rFonts w:ascii="Times New Roman" w:hAnsi="Times New Roman" w:cs="Times New Roman"/>
          <w:i/>
          <w:sz w:val="28"/>
          <w:szCs w:val="28"/>
        </w:rPr>
        <w:t>.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 xml:space="preserve">За 2018 год заключены договоренности о либерализации и расширении прав в области воздушного сообщения с 16 странами. 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 xml:space="preserve">При проведении консультаций с Авиационными властями Минтранс России руководствовался тем, что дальнейшее развитие рынка авиаперевозок обусловлено поиском взаимовыгодных решений, направленных на создание более оптимальной базы двустороннего сотрудничества в области воздушного сообщения. 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>Расширение воздушного сообщения между странами позволит максимально использовать преимущества воздушного транспорта, что, в свою очередь, положительно отразится на увеличении объема перевозок и расширении спектра услуг, предоставляемых авиапассажирам.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 xml:space="preserve">Было добавлено 5 новых пунктов назначения, </w:t>
      </w:r>
      <w:proofErr w:type="gramStart"/>
      <w:r w:rsidRPr="00702E43">
        <w:rPr>
          <w:sz w:val="28"/>
          <w:szCs w:val="28"/>
        </w:rPr>
        <w:t>например</w:t>
      </w:r>
      <w:proofErr w:type="gramEnd"/>
      <w:r w:rsidRPr="00702E43">
        <w:rPr>
          <w:sz w:val="28"/>
          <w:szCs w:val="28"/>
        </w:rPr>
        <w:t xml:space="preserve">: в Бельгии добавлен </w:t>
      </w:r>
      <w:r>
        <w:rPr>
          <w:sz w:val="28"/>
          <w:szCs w:val="28"/>
        </w:rPr>
        <w:br/>
      </w:r>
      <w:r w:rsidRPr="00702E43">
        <w:rPr>
          <w:sz w:val="28"/>
          <w:szCs w:val="28"/>
        </w:rPr>
        <w:t xml:space="preserve">Брюгге, Нидерландах – </w:t>
      </w:r>
      <w:proofErr w:type="spellStart"/>
      <w:r w:rsidRPr="00702E43">
        <w:rPr>
          <w:sz w:val="28"/>
          <w:szCs w:val="28"/>
        </w:rPr>
        <w:t>Эйндховен</w:t>
      </w:r>
      <w:proofErr w:type="spellEnd"/>
      <w:r w:rsidRPr="00702E43">
        <w:rPr>
          <w:sz w:val="28"/>
          <w:szCs w:val="28"/>
        </w:rPr>
        <w:t xml:space="preserve">, Франции – </w:t>
      </w:r>
      <w:proofErr w:type="spellStart"/>
      <w:r w:rsidRPr="00702E43">
        <w:rPr>
          <w:sz w:val="28"/>
          <w:szCs w:val="28"/>
        </w:rPr>
        <w:t>Монпелье</w:t>
      </w:r>
      <w:proofErr w:type="spellEnd"/>
      <w:r w:rsidRPr="00702E43">
        <w:rPr>
          <w:sz w:val="28"/>
          <w:szCs w:val="28"/>
        </w:rPr>
        <w:t xml:space="preserve"> и Марсель, в Китае количество пунктов увеличилось до 37. 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 xml:space="preserve">При этом было возобновлено воздушное сообщение с 7-ю странами. 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>Особо следует отметить возобновление воздушного сообщения с Арабской Республикой Египет.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 xml:space="preserve">Также была расширена маршрутная сеть из аэропорта Жуковский в другие </w:t>
      </w:r>
      <w:r w:rsidRPr="00702E43">
        <w:rPr>
          <w:sz w:val="28"/>
          <w:szCs w:val="28"/>
        </w:rPr>
        <w:lastRenderedPageBreak/>
        <w:t>страны.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>Все это открывает новые возможности для путешествия российских граждан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02E43">
        <w:rPr>
          <w:sz w:val="28"/>
          <w:szCs w:val="28"/>
        </w:rPr>
        <w:t>по всему миру и повышает доступность перевозок и мобильность населения.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 xml:space="preserve">Помимо добавления новых пунктов в таблицы маршрутов к Соглашениям </w:t>
      </w:r>
      <w:r>
        <w:rPr>
          <w:sz w:val="28"/>
          <w:szCs w:val="28"/>
        </w:rPr>
        <w:br/>
      </w:r>
      <w:r w:rsidRPr="00702E43">
        <w:rPr>
          <w:sz w:val="28"/>
          <w:szCs w:val="28"/>
        </w:rPr>
        <w:t>о воздушном сообщении между Российской Федерацией и другими странами на уже утвержденных маршрутах были увеличены количество перевозчиков и частота полетов.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>Теперь, например, в Хельсинки из Москвы и Санкт-Петербурга появилась возможность осуществлять полеты с частотой 42 и 28 рейсов в неделю соответственно; квота регулярных полетов во Францию увеличена с 87 до 121 рейс</w:t>
      </w:r>
      <w:r w:rsidR="002E307B">
        <w:rPr>
          <w:sz w:val="28"/>
          <w:szCs w:val="28"/>
        </w:rPr>
        <w:t>а</w:t>
      </w:r>
      <w:r w:rsidRPr="00702E43">
        <w:rPr>
          <w:sz w:val="28"/>
          <w:szCs w:val="28"/>
        </w:rPr>
        <w:t xml:space="preserve"> в неделю, а квота чартерных рейсов увеличена в два раза – с 40 до 80 рейсов, на маршруте Москва – Брюссель количество рейсов увеличено с 14 до 21 рейса в неделю, увеличено количество рейсов на маршруте Новосибирск – Алма-Ата с 10 до 14 рейсов в неделю, на маршруте Санкт-Петербург – Барселона до 21 рейс</w:t>
      </w:r>
      <w:r w:rsidR="001D729D">
        <w:rPr>
          <w:sz w:val="28"/>
          <w:szCs w:val="28"/>
        </w:rPr>
        <w:t>а</w:t>
      </w:r>
      <w:r w:rsidRPr="00702E43">
        <w:rPr>
          <w:sz w:val="28"/>
          <w:szCs w:val="28"/>
        </w:rPr>
        <w:t xml:space="preserve"> в неделю, значительно увеличена квота на полеты в Китай – на 41 и Вьетнам – на 49,</w:t>
      </w:r>
      <w:r w:rsidR="001D729D">
        <w:rPr>
          <w:sz w:val="28"/>
          <w:szCs w:val="28"/>
        </w:rPr>
        <w:br/>
      </w:r>
      <w:r w:rsidRPr="00702E43">
        <w:rPr>
          <w:sz w:val="28"/>
          <w:szCs w:val="28"/>
        </w:rPr>
        <w:t>в Люксембург на 14 рейсов в неделю.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>В рамках переговоров с таджикской стороной российская делегация добилась безусловного подтверждения заявок российских авиакомпаний на выполнение полетов из городов России в города Таджикистана в объеме не менее 74 рейсов в неделю.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>Кроме того, достигнута договоренность о предоставлении авиакомпаниям каждой из Сторон дополнительных прав на выполнение полетов по маршрутам: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02E43">
        <w:rPr>
          <w:sz w:val="28"/>
          <w:szCs w:val="28"/>
        </w:rPr>
        <w:t>Краснодар – Худжанд с частотой 1 рейс в неделю;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02E43">
        <w:rPr>
          <w:sz w:val="28"/>
          <w:szCs w:val="28"/>
        </w:rPr>
        <w:t>Пермь – Душанбе с частотой 1 рейс в неделю;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02E43">
        <w:rPr>
          <w:sz w:val="28"/>
          <w:szCs w:val="28"/>
        </w:rPr>
        <w:t>Челябинск – Худжанд с частотой 1 рейс в неделю;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702E43">
        <w:rPr>
          <w:sz w:val="28"/>
          <w:szCs w:val="28"/>
        </w:rPr>
        <w:t>Жуковский – Куляб с частотой 3 рейса в неделю.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>Одному российскому назначенному перевозчику предоставлено право выполнения полетов по 1-му треугольнику по своему усмотрению.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>В результате переговоров с узбекской стороной, договорились более чем в два раза увеличить частоту полетов для авиакомпаний обеих стран (с 42 рейсов в неделю в сезоне расписания ИАТА «Зима-2017/2018» до 86 в сезоне расписания ИАТА «Лето-2018»).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 xml:space="preserve">В ходе переговоров также подписана дорожная карта по расширению коммерческих прав на договорных маршрутах (105 рейсов в неделю – в сезоне </w:t>
      </w:r>
      <w:r w:rsidR="001D729D">
        <w:rPr>
          <w:sz w:val="28"/>
          <w:szCs w:val="28"/>
        </w:rPr>
        <w:br/>
      </w:r>
      <w:r w:rsidRPr="00702E43">
        <w:rPr>
          <w:sz w:val="28"/>
          <w:szCs w:val="28"/>
        </w:rPr>
        <w:t>«Зима-2018/2019» и 125 рейсов в неделю – в сезоне «Лето-2019»). Кроме этого, между странами будут введены новые маршруты.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>Таким образом, количество новых регулярных рейсов, которые могут выполняться российскими авиаперевозчиками увеличилось за 2018 год на 259 рейсов в неделю.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>С целью развития конкурентной среды и повышения доступности авиабилетов для населения на многих маршрутах было увеличено количество назначенных авиаперевозчиков. Так, увеличено количество назначенных ави</w:t>
      </w:r>
      <w:r w:rsidR="00F946A3">
        <w:rPr>
          <w:sz w:val="28"/>
          <w:szCs w:val="28"/>
        </w:rPr>
        <w:t>а</w:t>
      </w:r>
      <w:r w:rsidRPr="00702E43">
        <w:rPr>
          <w:sz w:val="28"/>
          <w:szCs w:val="28"/>
        </w:rPr>
        <w:t xml:space="preserve">перевозчиков на маршрутах Москва – Хельсинки, Москва – Ницца, Санкт-Петербург – Ницца. </w:t>
      </w:r>
    </w:p>
    <w:p w:rsidR="00702E43" w:rsidRPr="00702E43" w:rsidRDefault="00702E43" w:rsidP="00702E43">
      <w:pPr>
        <w:pStyle w:val="2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t xml:space="preserve">В 2018 году расширялись права и грузовых перевозчиков. </w:t>
      </w:r>
    </w:p>
    <w:p w:rsidR="006F74FF" w:rsidRPr="00961799" w:rsidRDefault="00702E43" w:rsidP="00702E43">
      <w:pPr>
        <w:pStyle w:val="2"/>
        <w:shd w:val="clear" w:color="auto" w:fill="auto"/>
        <w:spacing w:after="0" w:line="322" w:lineRule="exact"/>
        <w:ind w:left="20" w:right="20" w:firstLineChars="201" w:firstLine="563"/>
        <w:jc w:val="both"/>
        <w:rPr>
          <w:sz w:val="28"/>
          <w:szCs w:val="28"/>
        </w:rPr>
      </w:pPr>
      <w:r w:rsidRPr="00702E43">
        <w:rPr>
          <w:sz w:val="28"/>
          <w:szCs w:val="28"/>
        </w:rPr>
        <w:lastRenderedPageBreak/>
        <w:t>Необходимо отметить и достигнутые договоренности, относящиеся к полетам с использованием Транссибирской системы маршрутов, а именно, с Францией, Бельгией, Финляндией, Китаем и другими.</w:t>
      </w:r>
    </w:p>
    <w:sectPr w:rsidR="006F74FF" w:rsidRPr="00961799" w:rsidSect="00533DE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3E" w:rsidRDefault="0002133E" w:rsidP="00533DE6">
      <w:pPr>
        <w:spacing w:after="0" w:line="240" w:lineRule="auto"/>
      </w:pPr>
      <w:r>
        <w:separator/>
      </w:r>
    </w:p>
  </w:endnote>
  <w:endnote w:type="continuationSeparator" w:id="0">
    <w:p w:rsidR="0002133E" w:rsidRDefault="0002133E" w:rsidP="0053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3E" w:rsidRDefault="0002133E" w:rsidP="00533DE6">
      <w:pPr>
        <w:spacing w:after="0" w:line="240" w:lineRule="auto"/>
      </w:pPr>
      <w:r>
        <w:separator/>
      </w:r>
    </w:p>
  </w:footnote>
  <w:footnote w:type="continuationSeparator" w:id="0">
    <w:p w:rsidR="0002133E" w:rsidRDefault="0002133E" w:rsidP="0053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1736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33DE6" w:rsidRPr="002A03D6" w:rsidRDefault="00533DE6">
        <w:pPr>
          <w:pStyle w:val="a6"/>
          <w:jc w:val="center"/>
          <w:rPr>
            <w:rFonts w:ascii="Times New Roman" w:hAnsi="Times New Roman" w:cs="Times New Roman"/>
          </w:rPr>
        </w:pPr>
        <w:r w:rsidRPr="002A03D6">
          <w:rPr>
            <w:rFonts w:ascii="Times New Roman" w:hAnsi="Times New Roman" w:cs="Times New Roman"/>
          </w:rPr>
          <w:fldChar w:fldCharType="begin"/>
        </w:r>
        <w:r w:rsidRPr="002A03D6">
          <w:rPr>
            <w:rFonts w:ascii="Times New Roman" w:hAnsi="Times New Roman" w:cs="Times New Roman"/>
          </w:rPr>
          <w:instrText>PAGE   \* MERGEFORMAT</w:instrText>
        </w:r>
        <w:r w:rsidRPr="002A03D6">
          <w:rPr>
            <w:rFonts w:ascii="Times New Roman" w:hAnsi="Times New Roman" w:cs="Times New Roman"/>
          </w:rPr>
          <w:fldChar w:fldCharType="separate"/>
        </w:r>
        <w:r w:rsidR="006570CA">
          <w:rPr>
            <w:rFonts w:ascii="Times New Roman" w:hAnsi="Times New Roman" w:cs="Times New Roman"/>
            <w:noProof/>
          </w:rPr>
          <w:t>6</w:t>
        </w:r>
        <w:r w:rsidRPr="002A03D6">
          <w:rPr>
            <w:rFonts w:ascii="Times New Roman" w:hAnsi="Times New Roman" w:cs="Times New Roman"/>
          </w:rPr>
          <w:fldChar w:fldCharType="end"/>
        </w:r>
      </w:p>
    </w:sdtContent>
  </w:sdt>
  <w:p w:rsidR="00533DE6" w:rsidRDefault="00533D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55C"/>
    <w:multiLevelType w:val="multilevel"/>
    <w:tmpl w:val="41B8A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8F60B1"/>
    <w:multiLevelType w:val="multilevel"/>
    <w:tmpl w:val="71AEC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D2"/>
    <w:rsid w:val="00001E6F"/>
    <w:rsid w:val="0002133E"/>
    <w:rsid w:val="00042B6E"/>
    <w:rsid w:val="00087561"/>
    <w:rsid w:val="00087862"/>
    <w:rsid w:val="00096AAA"/>
    <w:rsid w:val="000C3151"/>
    <w:rsid w:val="00116BFD"/>
    <w:rsid w:val="0012484C"/>
    <w:rsid w:val="001C1DFA"/>
    <w:rsid w:val="001D729D"/>
    <w:rsid w:val="001E70A1"/>
    <w:rsid w:val="0022739E"/>
    <w:rsid w:val="00235C95"/>
    <w:rsid w:val="002443D8"/>
    <w:rsid w:val="00271E0B"/>
    <w:rsid w:val="002A03D6"/>
    <w:rsid w:val="002A5C62"/>
    <w:rsid w:val="002B7FD2"/>
    <w:rsid w:val="002C133D"/>
    <w:rsid w:val="002C40BA"/>
    <w:rsid w:val="002C6625"/>
    <w:rsid w:val="002D5FE8"/>
    <w:rsid w:val="002E238D"/>
    <w:rsid w:val="002E307B"/>
    <w:rsid w:val="002F3514"/>
    <w:rsid w:val="00314C74"/>
    <w:rsid w:val="003202FD"/>
    <w:rsid w:val="00336501"/>
    <w:rsid w:val="0034313B"/>
    <w:rsid w:val="003C1906"/>
    <w:rsid w:val="003D1884"/>
    <w:rsid w:val="003E0477"/>
    <w:rsid w:val="0040744A"/>
    <w:rsid w:val="00451BBB"/>
    <w:rsid w:val="004600A6"/>
    <w:rsid w:val="00495E69"/>
    <w:rsid w:val="004C16F6"/>
    <w:rsid w:val="004D0415"/>
    <w:rsid w:val="00505DFC"/>
    <w:rsid w:val="00514CBA"/>
    <w:rsid w:val="00524551"/>
    <w:rsid w:val="00533DE6"/>
    <w:rsid w:val="00544301"/>
    <w:rsid w:val="00554777"/>
    <w:rsid w:val="005614CC"/>
    <w:rsid w:val="00561631"/>
    <w:rsid w:val="005651F4"/>
    <w:rsid w:val="005708D8"/>
    <w:rsid w:val="00592D4C"/>
    <w:rsid w:val="005962BA"/>
    <w:rsid w:val="005973EE"/>
    <w:rsid w:val="005A0310"/>
    <w:rsid w:val="005A791A"/>
    <w:rsid w:val="005C3E4C"/>
    <w:rsid w:val="006302AC"/>
    <w:rsid w:val="00644759"/>
    <w:rsid w:val="00645DB4"/>
    <w:rsid w:val="006570CA"/>
    <w:rsid w:val="006956EE"/>
    <w:rsid w:val="006A55C6"/>
    <w:rsid w:val="006C501B"/>
    <w:rsid w:val="006C7D65"/>
    <w:rsid w:val="006E1547"/>
    <w:rsid w:val="006F23E2"/>
    <w:rsid w:val="006F74FF"/>
    <w:rsid w:val="007010F4"/>
    <w:rsid w:val="00701F81"/>
    <w:rsid w:val="00702E43"/>
    <w:rsid w:val="00722591"/>
    <w:rsid w:val="00743E3D"/>
    <w:rsid w:val="00756584"/>
    <w:rsid w:val="007572DD"/>
    <w:rsid w:val="00774BBF"/>
    <w:rsid w:val="00785287"/>
    <w:rsid w:val="00786D7B"/>
    <w:rsid w:val="007B7CD1"/>
    <w:rsid w:val="007B7F65"/>
    <w:rsid w:val="007C0F9E"/>
    <w:rsid w:val="007D4DF5"/>
    <w:rsid w:val="007E0E80"/>
    <w:rsid w:val="007F5510"/>
    <w:rsid w:val="0080351D"/>
    <w:rsid w:val="00831B29"/>
    <w:rsid w:val="008507BE"/>
    <w:rsid w:val="008B406C"/>
    <w:rsid w:val="008C7D1A"/>
    <w:rsid w:val="008E7BB4"/>
    <w:rsid w:val="00907975"/>
    <w:rsid w:val="00911877"/>
    <w:rsid w:val="0092514C"/>
    <w:rsid w:val="00961799"/>
    <w:rsid w:val="009A4FCA"/>
    <w:rsid w:val="009C70F7"/>
    <w:rsid w:val="009D2AC6"/>
    <w:rsid w:val="009D6CC4"/>
    <w:rsid w:val="00A51C98"/>
    <w:rsid w:val="00A64858"/>
    <w:rsid w:val="00A67EC9"/>
    <w:rsid w:val="00AA12B4"/>
    <w:rsid w:val="00AA4CBC"/>
    <w:rsid w:val="00AA6C94"/>
    <w:rsid w:val="00AB00FB"/>
    <w:rsid w:val="00AC07F9"/>
    <w:rsid w:val="00AC271B"/>
    <w:rsid w:val="00AC3D0F"/>
    <w:rsid w:val="00AD328E"/>
    <w:rsid w:val="00B26DB7"/>
    <w:rsid w:val="00B648DE"/>
    <w:rsid w:val="00B96409"/>
    <w:rsid w:val="00BA408D"/>
    <w:rsid w:val="00BA6A53"/>
    <w:rsid w:val="00BC2308"/>
    <w:rsid w:val="00BD46A5"/>
    <w:rsid w:val="00BD4E0A"/>
    <w:rsid w:val="00BE135A"/>
    <w:rsid w:val="00BE2E74"/>
    <w:rsid w:val="00BF53CA"/>
    <w:rsid w:val="00C27EBC"/>
    <w:rsid w:val="00C3004B"/>
    <w:rsid w:val="00C56B3B"/>
    <w:rsid w:val="00CB0AF3"/>
    <w:rsid w:val="00CE0B72"/>
    <w:rsid w:val="00CF71AF"/>
    <w:rsid w:val="00D01284"/>
    <w:rsid w:val="00D07527"/>
    <w:rsid w:val="00D13785"/>
    <w:rsid w:val="00D14DDE"/>
    <w:rsid w:val="00D21F08"/>
    <w:rsid w:val="00D4727E"/>
    <w:rsid w:val="00D54631"/>
    <w:rsid w:val="00D66B19"/>
    <w:rsid w:val="00D85D81"/>
    <w:rsid w:val="00DA0A2B"/>
    <w:rsid w:val="00DB730A"/>
    <w:rsid w:val="00DD2473"/>
    <w:rsid w:val="00DE49D2"/>
    <w:rsid w:val="00DF3595"/>
    <w:rsid w:val="00E12D95"/>
    <w:rsid w:val="00E15647"/>
    <w:rsid w:val="00E41601"/>
    <w:rsid w:val="00E5345A"/>
    <w:rsid w:val="00E61F28"/>
    <w:rsid w:val="00EA745E"/>
    <w:rsid w:val="00EB363D"/>
    <w:rsid w:val="00EC5470"/>
    <w:rsid w:val="00EE77F8"/>
    <w:rsid w:val="00F048AA"/>
    <w:rsid w:val="00F5179A"/>
    <w:rsid w:val="00F912C1"/>
    <w:rsid w:val="00F946A3"/>
    <w:rsid w:val="00FB3F1A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1B127-3A00-47E2-96A4-C7BEB1CB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9D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E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DE6"/>
  </w:style>
  <w:style w:type="paragraph" w:styleId="a8">
    <w:name w:val="footer"/>
    <w:basedOn w:val="a"/>
    <w:link w:val="a9"/>
    <w:uiPriority w:val="99"/>
    <w:unhideWhenUsed/>
    <w:rsid w:val="0053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DE6"/>
  </w:style>
  <w:style w:type="character" w:customStyle="1" w:styleId="aa">
    <w:name w:val="Основной текст_"/>
    <w:basedOn w:val="a0"/>
    <w:link w:val="2"/>
    <w:rsid w:val="009D2A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rsid w:val="009D2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0"/>
    <w:rsid w:val="009D2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">
    <w:name w:val="Основной текст1"/>
    <w:basedOn w:val="aa"/>
    <w:rsid w:val="009D2AC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9D2AC6"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961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Конопкина Ольга Александровна</dc:creator>
  <cp:lastModifiedBy>Миненков Владимир Александрович</cp:lastModifiedBy>
  <cp:revision>2</cp:revision>
  <cp:lastPrinted>2018-12-26T12:02:00Z</cp:lastPrinted>
  <dcterms:created xsi:type="dcterms:W3CDTF">2019-02-20T08:24:00Z</dcterms:created>
  <dcterms:modified xsi:type="dcterms:W3CDTF">2019-02-20T08:24:00Z</dcterms:modified>
</cp:coreProperties>
</file>