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pic="http://schemas.openxmlformats.org/drawingml/2006/picture" xmlns:r="http://schemas.openxmlformats.org/officeDocument/2006/relationships" xmlns:w14="http://schemas.microsoft.com/office/word/2010/wordml" xmlns:wp="http://schemas.openxmlformats.org/drawingml/2006/wordprocessingDrawing" mc:Ignorable="w14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АНКЕТА № </w:t>
      </w:r>
      <w:r>
        <w:rPr>
          <w:rFonts w:ascii="Times New Roman" w:hAnsi="Times New Roman"/>
          <w:b w:val="1"/>
          <w:sz w:val="28"/>
        </w:rPr>
        <w:t>3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(для субъектов Российской Федерации, в которых </w:t>
      </w:r>
      <w:r>
        <w:rPr>
          <w:rFonts w:ascii="Times New Roman" w:hAnsi="Times New Roman"/>
          <w:b w:val="1"/>
          <w:sz w:val="24"/>
        </w:rPr>
        <w:t xml:space="preserve">в настоящее время 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отсутствуют</w:t>
      </w:r>
      <w:r>
        <w:rPr>
          <w:rFonts w:ascii="Times New Roman" w:hAnsi="Times New Roman"/>
          <w:b w:val="1"/>
          <w:sz w:val="24"/>
        </w:rPr>
        <w:t xml:space="preserve"> перевозки  трамваями и метрополитеном)</w:t>
      </w:r>
    </w:p>
    <w:p w14:paraId="04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___</w:t>
      </w:r>
      <w:r>
        <w:rPr>
          <w:rFonts w:ascii="Times New Roman" w:hAnsi="Times New Roman"/>
          <w:b w:val="1"/>
          <w:sz w:val="28"/>
        </w:rPr>
        <w:t>_________________________</w:t>
      </w:r>
      <w:r>
        <w:rPr>
          <w:rFonts w:ascii="Times New Roman" w:hAnsi="Times New Roman"/>
          <w:b w:val="1"/>
          <w:sz w:val="28"/>
        </w:rPr>
        <w:t xml:space="preserve">                 _____________________</w:t>
      </w:r>
    </w:p>
    <w:p w14:paraId="05000000">
      <w:pPr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(наименование субъекта Российской Федерации)                                       (</w:t>
      </w:r>
      <w:r>
        <w:rPr>
          <w:rFonts w:ascii="Times New Roman" w:hAnsi="Times New Roman"/>
          <w:sz w:val="20"/>
        </w:rPr>
        <w:t>наименование города)</w:t>
      </w:r>
    </w:p>
    <w:p w14:paraId="06000000">
      <w:pPr>
        <w:spacing w:after="0" w:line="240" w:lineRule="auto"/>
        <w:ind/>
        <w:jc w:val="center"/>
        <w:rPr>
          <w:rFonts w:ascii="Times New Roman" w:hAnsi="Times New Roman"/>
          <w:sz w:val="20"/>
        </w:rPr>
      </w:pPr>
    </w:p>
    <w:tbl>
      <w:tblPr>
        <w:tblStyle w:val="Style_1"/>
        <w:tblInd w:type="dxa" w:w="-743"/>
      </w:tblPr>
      <w:tblGrid>
        <w:gridCol w:w="425"/>
        <w:gridCol w:w="5671"/>
        <w:gridCol w:w="2126"/>
        <w:gridCol w:w="2410"/>
      </w:tblGrid>
      <w:tr>
        <w:tc>
          <w:tcPr>
            <w:tcW w:type="dxa" w:w="425"/>
            <w:vMerge w:val="restart"/>
            <w:vAlign w:val="center"/>
          </w:tcPr>
          <w:p w14:paraId="07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№</w:t>
            </w:r>
          </w:p>
        </w:tc>
        <w:tc>
          <w:tcPr>
            <w:tcW w:type="dxa" w:w="5671"/>
            <w:vMerge w:val="restart"/>
            <w:vAlign w:val="center"/>
          </w:tcPr>
          <w:p w14:paraId="08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Наименование вопроса</w:t>
            </w:r>
          </w:p>
        </w:tc>
        <w:tc>
          <w:tcPr>
            <w:tcW w:type="dxa" w:w="4536"/>
            <w:gridSpan w:val="2"/>
          </w:tcPr>
          <w:p w14:paraId="09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Наименование вида транспорта</w:t>
            </w:r>
          </w:p>
        </w:tc>
      </w:tr>
      <w:tr>
        <w:tc>
          <w:tcPr>
            <w:tcW w:type="dxa" w:w="425"/>
            <w:gridSpan w:val="1"/>
            <w:vMerge w:val="continue"/>
            <w:vAlign w:val="center"/>
          </w:tcPr>
          <w:p/>
        </w:tc>
        <w:tc>
          <w:tcPr>
            <w:tcW w:type="dxa" w:w="5671"/>
            <w:gridSpan w:val="1"/>
            <w:vMerge w:val="continue"/>
            <w:vAlign w:val="center"/>
          </w:tcPr>
          <w:p/>
        </w:tc>
        <w:tc>
          <w:tcPr>
            <w:tcW w:type="dxa" w:w="2126"/>
          </w:tcPr>
          <w:p w14:paraId="0A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трамвай</w:t>
            </w:r>
          </w:p>
        </w:tc>
        <w:tc>
          <w:tcPr>
            <w:tcW w:type="dxa" w:w="2410"/>
          </w:tcPr>
          <w:p w14:paraId="0B000000">
            <w:pPr>
              <w:ind/>
              <w:jc w:val="center"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метрополитен</w:t>
            </w:r>
          </w:p>
        </w:tc>
      </w:tr>
      <w:tr>
        <w:tc>
          <w:tcPr>
            <w:tcW w:type="dxa" w:w="425"/>
          </w:tcPr>
          <w:p w14:paraId="0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671"/>
          </w:tcPr>
          <w:p w14:paraId="0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ребуемый объем закупок подвижного состава в случае целесообразности его </w:t>
            </w:r>
            <w:r>
              <w:rPr>
                <w:rFonts w:ascii="Times New Roman" w:hAnsi="Times New Roman"/>
                <w:b w:val="1"/>
                <w:sz w:val="24"/>
              </w:rPr>
              <w:t>развития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type="dxa" w:w="2126"/>
          </w:tcPr>
          <w:p w14:paraId="0E000000">
            <w:pPr>
              <w:rPr>
                <w:rFonts w:ascii="Times New Roman" w:hAnsi="Times New Roman"/>
                <w:sz w:val="24"/>
              </w:rPr>
            </w:pPr>
          </w:p>
          <w:p w14:paraId="0F000000">
            <w:pPr>
              <w:rPr>
                <w:rFonts w:ascii="Times New Roman" w:hAnsi="Times New Roman"/>
                <w:sz w:val="24"/>
              </w:rPr>
            </w:pPr>
          </w:p>
          <w:p w14:paraId="10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</w:tcPr>
          <w:p w14:paraId="11000000">
            <w:pPr>
              <w:rPr>
                <w:rFonts w:ascii="Times New Roman" w:hAnsi="Times New Roman"/>
                <w:sz w:val="24"/>
              </w:rPr>
            </w:pPr>
          </w:p>
          <w:p w14:paraId="1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</w:t>
            </w:r>
          </w:p>
          <w:p w14:paraId="13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5"/>
          </w:tcPr>
          <w:p w14:paraId="1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</w:p>
        </w:tc>
        <w:tc>
          <w:tcPr>
            <w:tcW w:type="dxa" w:w="5671"/>
          </w:tcPr>
          <w:p w14:paraId="1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ребуемый объем денежных средств на закупку подвижного состава в </w:t>
            </w:r>
            <w:r>
              <w:rPr>
                <w:rFonts w:ascii="Times New Roman" w:hAnsi="Times New Roman"/>
                <w:sz w:val="24"/>
              </w:rPr>
              <w:t>случае</w:t>
            </w:r>
            <w:r>
              <w:rPr>
                <w:rFonts w:ascii="Times New Roman" w:hAnsi="Times New Roman"/>
                <w:sz w:val="24"/>
              </w:rPr>
              <w:t xml:space="preserve"> целесообразности его </w:t>
            </w:r>
            <w:r>
              <w:rPr>
                <w:rFonts w:ascii="Times New Roman" w:hAnsi="Times New Roman"/>
                <w:b w:val="1"/>
                <w:sz w:val="24"/>
              </w:rPr>
              <w:t>развития</w:t>
            </w:r>
            <w:r>
              <w:rPr>
                <w:rFonts w:ascii="Times New Roman" w:hAnsi="Times New Roman"/>
                <w:sz w:val="24"/>
              </w:rPr>
              <w:t>, тыс. рублей</w:t>
            </w:r>
          </w:p>
        </w:tc>
        <w:tc>
          <w:tcPr>
            <w:tcW w:type="dxa" w:w="2126"/>
          </w:tcPr>
          <w:p w14:paraId="16000000">
            <w:pPr>
              <w:rPr>
                <w:rFonts w:ascii="Times New Roman" w:hAnsi="Times New Roman"/>
                <w:sz w:val="24"/>
              </w:rPr>
            </w:pPr>
          </w:p>
          <w:p w14:paraId="17000000">
            <w:pPr>
              <w:rPr>
                <w:rFonts w:ascii="Times New Roman" w:hAnsi="Times New Roman"/>
                <w:sz w:val="24"/>
              </w:rPr>
            </w:pPr>
          </w:p>
          <w:p w14:paraId="18000000">
            <w:pPr>
              <w:rPr>
                <w:rFonts w:ascii="Times New Roman" w:hAnsi="Times New Roman"/>
                <w:sz w:val="24"/>
              </w:rPr>
            </w:pPr>
          </w:p>
          <w:p w14:paraId="19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</w:tcPr>
          <w:p w14:paraId="1A000000">
            <w:pPr>
              <w:rPr>
                <w:rFonts w:ascii="Times New Roman" w:hAnsi="Times New Roman"/>
                <w:sz w:val="24"/>
              </w:rPr>
            </w:pPr>
          </w:p>
          <w:p w14:paraId="1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</w:t>
            </w:r>
          </w:p>
          <w:p w14:paraId="1C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5"/>
          </w:tcPr>
          <w:p w14:paraId="1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</w:p>
        </w:tc>
        <w:tc>
          <w:tcPr>
            <w:tcW w:type="dxa" w:w="5671"/>
          </w:tcPr>
          <w:p w14:paraId="1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z w:val="24"/>
              </w:rPr>
              <w:t>ребуемый</w:t>
            </w:r>
            <w:r>
              <w:rPr>
                <w:rFonts w:ascii="Times New Roman" w:hAnsi="Times New Roman"/>
                <w:sz w:val="24"/>
              </w:rPr>
              <w:t xml:space="preserve"> объем денежных средств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соответствующей </w:t>
            </w:r>
            <w:r>
              <w:rPr>
                <w:rFonts w:ascii="Times New Roman" w:hAnsi="Times New Roman"/>
                <w:sz w:val="24"/>
              </w:rPr>
              <w:t xml:space="preserve">инфраструктуры </w:t>
            </w:r>
            <w:r>
              <w:rPr>
                <w:rFonts w:ascii="Times New Roman" w:hAnsi="Times New Roman"/>
                <w:sz w:val="24"/>
              </w:rPr>
              <w:t xml:space="preserve">(строительство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новых </w:t>
            </w:r>
            <w:r>
              <w:rPr>
                <w:rFonts w:ascii="Times New Roman" w:hAnsi="Times New Roman"/>
                <w:sz w:val="24"/>
              </w:rPr>
              <w:t>подстанций, депо, путей</w:t>
            </w:r>
            <w:r>
              <w:rPr>
                <w:rFonts w:ascii="Times New Roman" w:hAnsi="Times New Roman"/>
                <w:sz w:val="24"/>
              </w:rPr>
              <w:t>, станций</w:t>
            </w:r>
            <w:r>
              <w:rPr>
                <w:rFonts w:ascii="Times New Roman" w:hAnsi="Times New Roman"/>
                <w:sz w:val="24"/>
              </w:rPr>
              <w:t xml:space="preserve"> и др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), тыс. рублей</w:t>
            </w:r>
          </w:p>
        </w:tc>
        <w:tc>
          <w:tcPr>
            <w:tcW w:type="dxa" w:w="2126"/>
          </w:tcPr>
          <w:p w14:paraId="1F000000">
            <w:pPr>
              <w:rPr>
                <w:rFonts w:ascii="Times New Roman" w:hAnsi="Times New Roman"/>
                <w:sz w:val="24"/>
              </w:rPr>
            </w:pPr>
          </w:p>
          <w:p w14:paraId="20000000">
            <w:pPr>
              <w:rPr>
                <w:rFonts w:ascii="Times New Roman" w:hAnsi="Times New Roman"/>
                <w:sz w:val="24"/>
              </w:rPr>
            </w:pPr>
          </w:p>
          <w:p w14:paraId="21000000">
            <w:pPr>
              <w:rPr>
                <w:rFonts w:ascii="Times New Roman" w:hAnsi="Times New Roman"/>
                <w:sz w:val="24"/>
              </w:rPr>
            </w:pPr>
          </w:p>
          <w:p w14:paraId="22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410"/>
          </w:tcPr>
          <w:p w14:paraId="23000000">
            <w:pPr>
              <w:rPr>
                <w:rFonts w:ascii="Times New Roman" w:hAnsi="Times New Roman"/>
                <w:sz w:val="24"/>
              </w:rPr>
            </w:pPr>
          </w:p>
          <w:p w14:paraId="2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</w:t>
            </w:r>
          </w:p>
          <w:p w14:paraId="25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425"/>
          </w:tcPr>
          <w:p w14:paraId="2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5671"/>
          </w:tcPr>
          <w:p w14:paraId="2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альтернативных видов транспорта</w:t>
            </w:r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type="dxa" w:w="4536"/>
            <w:gridSpan w:val="2"/>
          </w:tcPr>
          <w:p w14:paraId="2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графе указать альтернативн</w:t>
            </w:r>
            <w:r>
              <w:rPr>
                <w:rFonts w:ascii="Times New Roman" w:hAnsi="Times New Roman"/>
                <w:sz w:val="20"/>
              </w:rPr>
              <w:t>ый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вид </w:t>
            </w:r>
            <w:r>
              <w:rPr>
                <w:rFonts w:ascii="Times New Roman" w:hAnsi="Times New Roman"/>
                <w:sz w:val="20"/>
              </w:rPr>
              <w:t>транспорта</w:t>
            </w:r>
          </w:p>
          <w:p w14:paraId="29000000">
            <w:pPr>
              <w:ind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0"/>
              </w:rPr>
              <w:t>(если рассматрива</w:t>
            </w:r>
            <w:r>
              <w:rPr>
                <w:rFonts w:ascii="Times New Roman" w:hAnsi="Times New Roman"/>
                <w:sz w:val="20"/>
              </w:rPr>
              <w:t>ю</w:t>
            </w:r>
            <w:r>
              <w:rPr>
                <w:rFonts w:ascii="Times New Roman" w:hAnsi="Times New Roman"/>
                <w:sz w:val="20"/>
              </w:rPr>
              <w:t>тся несколько видов, то разбить соответствующее количество столбцов)</w:t>
            </w:r>
          </w:p>
        </w:tc>
      </w:tr>
      <w:tr>
        <w:tc>
          <w:tcPr>
            <w:tcW w:type="dxa" w:w="425"/>
          </w:tcPr>
          <w:p w14:paraId="2A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71"/>
          </w:tcPr>
          <w:p w14:paraId="2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требуемый объем закупок подвижного состава альтернативного вида транспорта, </w:t>
            </w:r>
            <w:r>
              <w:rPr>
                <w:rFonts w:ascii="Times New Roman" w:hAnsi="Times New Roman"/>
                <w:sz w:val="24"/>
              </w:rPr>
              <w:t>ед.</w:t>
            </w:r>
          </w:p>
        </w:tc>
        <w:tc>
          <w:tcPr>
            <w:tcW w:type="dxa" w:w="4536"/>
            <w:gridSpan w:val="2"/>
          </w:tcPr>
          <w:p w14:paraId="2C000000">
            <w:pPr>
              <w:rPr>
                <w:sz w:val="24"/>
              </w:rPr>
            </w:pPr>
          </w:p>
        </w:tc>
      </w:tr>
      <w:tr>
        <w:tc>
          <w:tcPr>
            <w:tcW w:type="dxa" w:w="425"/>
          </w:tcPr>
          <w:p w14:paraId="2D000000">
            <w:pPr>
              <w:rPr>
                <w:sz w:val="24"/>
              </w:rPr>
            </w:pPr>
          </w:p>
        </w:tc>
        <w:tc>
          <w:tcPr>
            <w:tcW w:type="dxa" w:w="5671"/>
          </w:tcPr>
          <w:p w14:paraId="2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требуемый объем денежных средств на закупку подвижного состава альтернативного вида транспорта, тыс. рублей</w:t>
            </w:r>
          </w:p>
        </w:tc>
        <w:tc>
          <w:tcPr>
            <w:tcW w:type="dxa" w:w="4536"/>
            <w:gridSpan w:val="2"/>
          </w:tcPr>
          <w:p w14:paraId="2F000000">
            <w:pPr>
              <w:rPr>
                <w:sz w:val="24"/>
              </w:rPr>
            </w:pPr>
          </w:p>
        </w:tc>
      </w:tr>
      <w:tr>
        <w:tc>
          <w:tcPr>
            <w:tcW w:type="dxa" w:w="425"/>
          </w:tcPr>
          <w:p w14:paraId="30000000">
            <w:pPr>
              <w:rPr>
                <w:sz w:val="24"/>
              </w:rPr>
            </w:pPr>
          </w:p>
        </w:tc>
        <w:tc>
          <w:tcPr>
            <w:tcW w:type="dxa" w:w="5671"/>
          </w:tcPr>
          <w:p w14:paraId="3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ребуемый объем денежных средств на </w:t>
            </w:r>
            <w:r>
              <w:rPr>
                <w:rFonts w:ascii="Times New Roman" w:hAnsi="Times New Roman"/>
                <w:sz w:val="24"/>
              </w:rPr>
              <w:t>создание всей инфраструктуры</w:t>
            </w:r>
            <w:r>
              <w:rPr>
                <w:rFonts w:ascii="Times New Roman" w:hAnsi="Times New Roman"/>
                <w:sz w:val="24"/>
              </w:rPr>
              <w:t xml:space="preserve"> для </w:t>
            </w:r>
            <w:r>
              <w:rPr>
                <w:rFonts w:ascii="Times New Roman" w:hAnsi="Times New Roman"/>
                <w:sz w:val="24"/>
              </w:rPr>
              <w:t xml:space="preserve"> альтернативных видов транспорта</w:t>
            </w:r>
            <w:r>
              <w:rPr>
                <w:rFonts w:ascii="Times New Roman" w:hAnsi="Times New Roman"/>
                <w:sz w:val="24"/>
              </w:rPr>
              <w:t xml:space="preserve"> и </w:t>
            </w:r>
            <w:r>
              <w:rPr>
                <w:rFonts w:ascii="Times New Roman" w:hAnsi="Times New Roman"/>
                <w:sz w:val="24"/>
              </w:rPr>
              <w:t>др</w:t>
            </w:r>
            <w:r>
              <w:rPr>
                <w:rFonts w:ascii="Times New Roman" w:hAnsi="Times New Roman"/>
                <w:sz w:val="24"/>
              </w:rPr>
              <w:t>, тыс. рублей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4536"/>
            <w:gridSpan w:val="2"/>
          </w:tcPr>
          <w:p w14:paraId="32000000">
            <w:pPr>
              <w:rPr>
                <w:sz w:val="24"/>
              </w:rPr>
            </w:pPr>
          </w:p>
        </w:tc>
      </w:tr>
      <w:tr>
        <w:tc>
          <w:tcPr>
            <w:tcW w:type="dxa" w:w="425"/>
          </w:tcPr>
          <w:p w14:paraId="33000000">
            <w:pPr>
              <w:rPr>
                <w:sz w:val="24"/>
              </w:rPr>
            </w:pPr>
          </w:p>
        </w:tc>
        <w:tc>
          <w:tcPr>
            <w:tcW w:type="dxa" w:w="5671"/>
          </w:tcPr>
          <w:p w14:paraId="3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Вывод о целесообразности</w:t>
            </w:r>
            <w:r>
              <w:rPr>
                <w:rFonts w:ascii="Times New Roman" w:hAnsi="Times New Roman"/>
                <w:sz w:val="24"/>
              </w:rPr>
              <w:t>/нецелесообразности</w:t>
            </w:r>
            <w:r>
              <w:rPr>
                <w:rFonts w:ascii="Times New Roman" w:hAnsi="Times New Roman"/>
                <w:sz w:val="24"/>
              </w:rPr>
              <w:t xml:space="preserve"> сохранения/развития трамваев, метрополитена в увязке с развитием иных альтернативных видов транспорта</w:t>
            </w:r>
            <w:r>
              <w:rPr>
                <w:rFonts w:ascii="Times New Roman" w:hAnsi="Times New Roman"/>
                <w:sz w:val="24"/>
              </w:rPr>
              <w:t xml:space="preserve"> (исходя из анализа затраты/выгоды,</w:t>
            </w:r>
          </w:p>
          <w:p w14:paraId="3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необходимости, с дополнительными обоснованиями)</w:t>
            </w:r>
          </w:p>
        </w:tc>
        <w:tc>
          <w:tcPr>
            <w:tcW w:type="dxa" w:w="4536"/>
            <w:gridSpan w:val="2"/>
          </w:tcPr>
          <w:p w14:paraId="36000000">
            <w:pPr>
              <w:rPr>
                <w:sz w:val="24"/>
              </w:rPr>
            </w:pPr>
          </w:p>
        </w:tc>
      </w:tr>
    </w:tbl>
    <w:p w14:paraId="37000000">
      <w:pPr>
        <w:rPr>
          <w:rFonts w:ascii="Times New Roman" w:hAnsi="Times New Roman"/>
          <w:sz w:val="28"/>
        </w:rPr>
      </w:pPr>
    </w:p>
    <w:sectPr>
      <w:pgSz w:h="16838" w:w="11906"/>
      <w:pgMar w:bottom="538" w:footer="708" w:gutter="0" w:header="708" w:left="1701" w:right="850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w="http://schemas.openxmlformats.org/wordprocessingml/2006/main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w="http://schemas.openxmlformats.org/wordprocessingml/2006/main">
  <w:docDefaults>
    <w:rPrDefault>
      <w:rPr>
        <w:rFonts w:asciiTheme="minorAsci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link w:val="Style_9_ch"/>
    <w:uiPriority w:val="39"/>
    <w:pPr>
      <w:ind w:firstLine="0" w:left="400"/>
    </w:pPr>
  </w:style>
  <w:style w:styleId="Style_9_ch" w:type="character">
    <w:name w:val="toc 3"/>
    <w:link w:val="Style_9"/>
  </w:style>
  <w:style w:styleId="Style_10" w:type="paragraph">
    <w:name w:val="heading 5"/>
    <w:link w:val="Style_10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0_ch" w:type="character">
    <w:name w:val="heading 5"/>
    <w:link w:val="Style_10"/>
    <w:rPr>
      <w:rFonts w:ascii="XO Thames" w:hAnsi="XO Thames"/>
      <w:b w:val="1"/>
      <w:color w:val="000000"/>
      <w:sz w:val="22"/>
    </w:rPr>
  </w:style>
  <w:style w:styleId="Style_11" w:type="paragraph">
    <w:name w:val="heading 1"/>
    <w:link w:val="Style_11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rPr>
      <w:rFonts w:ascii="XO Thames" w:hAnsi="XO Thames"/>
      <w:color w:val="757575"/>
      <w:sz w:val="20"/>
    </w:rPr>
  </w:style>
  <w:style w:styleId="Style_13_ch" w:type="character">
    <w:name w:val="Footnote"/>
    <w:link w:val="Style_13"/>
    <w:rPr>
      <w:rFonts w:ascii="XO Thames" w:hAnsi="XO Thames"/>
      <w:color w:val="757575"/>
      <w:sz w:val="20"/>
    </w:rPr>
  </w:style>
  <w:style w:styleId="Style_14" w:type="paragraph">
    <w:name w:val="toc 1"/>
    <w:link w:val="Style_14_ch"/>
    <w:uiPriority w:val="39"/>
    <w:pPr>
      <w:ind w:firstLine="0" w:left="0"/>
    </w:pPr>
    <w:rPr>
      <w:rFonts w:ascii="XO Thames" w:hAnsi="XO Thames"/>
      <w:b w:val="1"/>
    </w:rPr>
  </w:style>
  <w:style w:styleId="Style_14_ch" w:type="character">
    <w:name w:val="toc 1"/>
    <w:link w:val="Style_14"/>
    <w:rPr>
      <w:rFonts w:ascii="XO Thames" w:hAnsi="XO Thames"/>
      <w:b w:val="1"/>
    </w:rPr>
  </w:style>
  <w:style w:styleId="Style_15" w:type="paragraph">
    <w:name w:val="Header and Footer"/>
    <w:link w:val="Style_15_ch"/>
    <w:pPr>
      <w:spacing w:line="360" w:lineRule="auto"/>
      <w:ind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toc 9"/>
    <w:link w:val="Style_16_ch"/>
    <w:uiPriority w:val="39"/>
    <w:pPr>
      <w:ind w:firstLine="0" w:left="1600"/>
    </w:pPr>
  </w:style>
  <w:style w:styleId="Style_16_ch" w:type="character">
    <w:name w:val="toc 9"/>
    <w:link w:val="Style_16"/>
  </w:style>
  <w:style w:styleId="Style_17" w:type="paragraph">
    <w:name w:val="toc 8"/>
    <w:link w:val="Style_17_ch"/>
    <w:uiPriority w:val="39"/>
    <w:pPr>
      <w:ind w:firstLine="0" w:left="1400"/>
    </w:pPr>
  </w:style>
  <w:style w:styleId="Style_17_ch" w:type="character">
    <w:name w:val="toc 8"/>
    <w:link w:val="Style_17"/>
  </w:style>
  <w:style w:styleId="Style_18" w:type="paragraph">
    <w:name w:val="toc 5"/>
    <w:link w:val="Style_18_ch"/>
    <w:uiPriority w:val="39"/>
    <w:pPr>
      <w:ind w:firstLine="0" w:left="800"/>
    </w:pPr>
  </w:style>
  <w:style w:styleId="Style_18_ch" w:type="character">
    <w:name w:val="toc 5"/>
    <w:link w:val="Style_18"/>
  </w:style>
  <w:style w:styleId="Style_19" w:type="paragraph">
    <w:name w:val="Subtitle"/>
    <w:link w:val="Style_19_ch"/>
    <w:uiPriority w:val="11"/>
    <w:qFormat/>
    <w:rPr>
      <w:rFonts w:ascii="XO Thames" w:hAnsi="XO Thames"/>
      <w:i w:val="1"/>
      <w:color w:val="616161"/>
      <w:sz w:val="24"/>
    </w:rPr>
  </w:style>
  <w:style w:styleId="Style_19_ch" w:type="character">
    <w:name w:val="Subtitle"/>
    <w:link w:val="Style_19"/>
    <w:rPr>
      <w:rFonts w:ascii="XO Thames" w:hAnsi="XO Thames"/>
      <w:i w:val="1"/>
      <w:color w:val="616161"/>
      <w:sz w:val="24"/>
    </w:rPr>
  </w:style>
  <w:style w:styleId="Style_20" w:type="paragraph">
    <w:name w:val="toc 10"/>
    <w:link w:val="Style_20_ch"/>
    <w:uiPriority w:val="39"/>
    <w:pPr>
      <w:ind w:firstLine="0" w:left="1800"/>
    </w:pPr>
  </w:style>
  <w:style w:styleId="Style_20_ch" w:type="character">
    <w:name w:val="toc 10"/>
    <w:link w:val="Style_20"/>
  </w:style>
  <w:style w:styleId="Style_21" w:type="paragraph">
    <w:name w:val="Title"/>
    <w:link w:val="Style_21_ch"/>
    <w:uiPriority w:val="10"/>
    <w:qFormat/>
    <w:rPr>
      <w:rFonts w:ascii="XO Thames" w:hAnsi="XO Thames"/>
      <w:b w:val="1"/>
      <w:sz w:val="52"/>
    </w:rPr>
  </w:style>
  <w:style w:styleId="Style_21_ch" w:type="character">
    <w:name w:val="Title"/>
    <w:link w:val="Style_21"/>
    <w:rPr>
      <w:rFonts w:ascii="XO Thames" w:hAnsi="XO Thames"/>
      <w:b w:val="1"/>
      <w:sz w:val="52"/>
    </w:rPr>
  </w:style>
  <w:style w:styleId="Style_22" w:type="paragraph">
    <w:name w:val="heading 4"/>
    <w:link w:val="Style_2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2_ch" w:type="character">
    <w:name w:val="heading 4"/>
    <w:link w:val="Style_22"/>
    <w:rPr>
      <w:rFonts w:ascii="XO Thames" w:hAnsi="XO Thames"/>
      <w:b w:val="1"/>
      <w:color w:val="595959"/>
      <w:sz w:val="26"/>
    </w:rPr>
  </w:style>
  <w:style w:styleId="Style_23" w:type="paragraph">
    <w:name w:val="heading 2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 w="9525">
          <a:solidFill>
            <a:schemeClr val="phClr">
              <a:shade val="95%"/>
              <a:satMod val="105%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5</TotalTime>
  <DocSecurity>0</DocSecurity>
  <ScaleCrop>false</ScaleCrop>
  <Application>MyOffice-CoreFramework-Linux/13.0-597.96.2935.234.1@RELEASE-DESKTOP-MINT-ST-2</Application>
</Properties>
</file>