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АНКЕТА № 1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(для субъектов Российской Федерации, в которых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 настоящее время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уже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осуществляются перевозки </w:t>
      </w:r>
      <w:r>
        <w:rPr>
          <w:rFonts w:ascii="Times New Roman" w:hAnsi="Times New Roman"/>
          <w:b w:val="1"/>
          <w:sz w:val="24"/>
        </w:rPr>
        <w:t xml:space="preserve"> трамва</w:t>
      </w:r>
      <w:r>
        <w:rPr>
          <w:rFonts w:ascii="Times New Roman" w:hAnsi="Times New Roman"/>
          <w:b w:val="1"/>
          <w:sz w:val="24"/>
        </w:rPr>
        <w:t>ями</w:t>
      </w:r>
      <w:r>
        <w:rPr>
          <w:rFonts w:ascii="Times New Roman" w:hAnsi="Times New Roman"/>
          <w:b w:val="1"/>
          <w:sz w:val="24"/>
        </w:rPr>
        <w:t xml:space="preserve"> и метрополитен</w:t>
      </w:r>
      <w:r>
        <w:rPr>
          <w:rFonts w:ascii="Times New Roman" w:hAnsi="Times New Roman"/>
          <w:b w:val="1"/>
          <w:sz w:val="24"/>
        </w:rPr>
        <w:t>ом</w:t>
      </w:r>
      <w:r>
        <w:rPr>
          <w:rFonts w:ascii="Times New Roman" w:hAnsi="Times New Roman"/>
          <w:b w:val="1"/>
          <w:sz w:val="24"/>
        </w:rPr>
        <w:t>)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</w:t>
      </w:r>
      <w:r>
        <w:rPr>
          <w:rFonts w:ascii="Times New Roman" w:hAnsi="Times New Roman"/>
          <w:b w:val="1"/>
          <w:sz w:val="28"/>
        </w:rPr>
        <w:t>_________________________</w:t>
      </w:r>
      <w:r>
        <w:rPr>
          <w:rFonts w:ascii="Times New Roman" w:hAnsi="Times New Roman"/>
          <w:b w:val="1"/>
          <w:sz w:val="28"/>
        </w:rPr>
        <w:t xml:space="preserve">                 _____________________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субъекта Российской Федерации)                                       (</w:t>
      </w:r>
      <w:r>
        <w:rPr>
          <w:rFonts w:ascii="Times New Roman" w:hAnsi="Times New Roman"/>
          <w:sz w:val="20"/>
        </w:rPr>
        <w:t>наименование города)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1"/>
        <w:tblInd w:type="dxa" w:w="-743"/>
      </w:tblPr>
      <w:tblGrid>
        <w:gridCol w:w="425"/>
        <w:gridCol w:w="5529"/>
        <w:gridCol w:w="2268"/>
        <w:gridCol w:w="2410"/>
      </w:tblGrid>
      <w:tr>
        <w:tc>
          <w:tcPr>
            <w:tcW w:type="dxa" w:w="425"/>
            <w:vMerge w:val="restart"/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5529"/>
            <w:vMerge w:val="restart"/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вопроса</w:t>
            </w:r>
          </w:p>
        </w:tc>
        <w:tc>
          <w:tcPr>
            <w:tcW w:type="dxa" w:w="4678"/>
            <w:gridSpan w:val="2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вида транспорта</w:t>
            </w:r>
          </w:p>
        </w:tc>
      </w:tr>
      <w:tr>
        <w:tc>
          <w:tcPr>
            <w:tcW w:type="dxa" w:w="425"/>
            <w:gridSpan w:val="1"/>
            <w:vMerge w:val="continue"/>
            <w:vAlign w:val="center"/>
          </w:tcPr>
          <w:p/>
        </w:tc>
        <w:tc>
          <w:tcPr>
            <w:tcW w:type="dxa" w:w="5529"/>
            <w:gridSpan w:val="1"/>
            <w:vMerge w:val="continue"/>
            <w:vAlign w:val="center"/>
          </w:tcPr>
          <w:p/>
        </w:tc>
        <w:tc>
          <w:tcPr>
            <w:tcW w:type="dxa" w:w="2268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трамвай</w:t>
            </w:r>
          </w:p>
        </w:tc>
        <w:tc>
          <w:tcPr>
            <w:tcW w:type="dxa" w:w="2410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метрополитен</w:t>
            </w:r>
          </w:p>
        </w:tc>
      </w:tr>
      <w:tr>
        <w:tc>
          <w:tcPr>
            <w:tcW w:type="dxa" w:w="425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529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Возрастная структура </w:t>
            </w:r>
            <w:r>
              <w:rPr>
                <w:rFonts w:ascii="Times New Roman" w:hAnsi="Times New Roman"/>
                <w:sz w:val="24"/>
              </w:rPr>
              <w:t xml:space="preserve">имеющегося </w:t>
            </w:r>
            <w:r>
              <w:rPr>
                <w:rFonts w:ascii="Times New Roman" w:hAnsi="Times New Roman"/>
                <w:sz w:val="24"/>
              </w:rPr>
              <w:t>подвижного состава:</w:t>
            </w:r>
          </w:p>
        </w:tc>
        <w:tc>
          <w:tcPr>
            <w:tcW w:type="dxa" w:w="2268"/>
          </w:tcPr>
          <w:p w14:paraId="0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0F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1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0-10 лет,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268"/>
          </w:tcPr>
          <w:p w14:paraId="1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1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11-15 лет,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268"/>
          </w:tcPr>
          <w:p w14:paraId="1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6"/>
        </w:trPr>
        <w:tc>
          <w:tcPr>
            <w:tcW w:type="dxa" w:w="425"/>
          </w:tcPr>
          <w:p w14:paraId="1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16-20 </w:t>
            </w:r>
            <w:r>
              <w:rPr>
                <w:rFonts w:ascii="Times New Roman" w:hAnsi="Times New Roman"/>
                <w:sz w:val="24"/>
              </w:rPr>
              <w:t>лет</w:t>
            </w:r>
            <w:r>
              <w:rPr>
                <w:rFonts w:ascii="Times New Roman" w:hAnsi="Times New Roman"/>
                <w:sz w:val="24"/>
              </w:rPr>
              <w:t>,е</w:t>
            </w:r>
            <w:r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type="dxa" w:w="2268"/>
          </w:tcPr>
          <w:p w14:paraId="1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B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1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21-25 лет, </w:t>
            </w: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2268"/>
          </w:tcPr>
          <w:p w14:paraId="1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F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2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свыше 25 лет,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268"/>
          </w:tcPr>
          <w:p w14:paraId="2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529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Требуемый объем закупок подвижного состава в случае целесообразности его сохранения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ед.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-------------------------------------------------------------</w:t>
            </w:r>
          </w:p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Дополнительно 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ребуемый объем закупок подвижного состава в случае целесообразности его </w:t>
            </w:r>
            <w:r>
              <w:rPr>
                <w:rFonts w:ascii="Times New Roman" w:hAnsi="Times New Roman"/>
                <w:b w:val="1"/>
                <w:sz w:val="24"/>
              </w:rPr>
              <w:t>развития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2268"/>
          </w:tcPr>
          <w:p w14:paraId="28000000">
            <w:pPr>
              <w:rPr>
                <w:rFonts w:ascii="Times New Roman" w:hAnsi="Times New Roman"/>
                <w:sz w:val="24"/>
              </w:rPr>
            </w:pPr>
          </w:p>
          <w:p w14:paraId="29000000">
            <w:pPr>
              <w:rPr>
                <w:rFonts w:ascii="Times New Roman" w:hAnsi="Times New Roman"/>
                <w:sz w:val="24"/>
              </w:rPr>
            </w:pPr>
          </w:p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</w:t>
            </w:r>
          </w:p>
        </w:tc>
        <w:tc>
          <w:tcPr>
            <w:tcW w:type="dxa" w:w="2410"/>
          </w:tcPr>
          <w:p w14:paraId="2B000000">
            <w:pPr>
              <w:rPr>
                <w:rFonts w:ascii="Times New Roman" w:hAnsi="Times New Roman"/>
                <w:sz w:val="24"/>
              </w:rPr>
            </w:pPr>
          </w:p>
          <w:p w14:paraId="2C000000">
            <w:pPr>
              <w:rPr>
                <w:rFonts w:ascii="Times New Roman" w:hAnsi="Times New Roman"/>
                <w:sz w:val="24"/>
              </w:rPr>
            </w:pP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</w:t>
            </w:r>
          </w:p>
        </w:tc>
      </w:tr>
      <w:tr>
        <w:tc>
          <w:tcPr>
            <w:tcW w:type="dxa" w:w="425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5529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Требуемый объем денежных средств на закупку подвижного состава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целесообразности его сохранения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-------------------------------------------------------------</w:t>
            </w:r>
          </w:p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Дополнительно требуемый объем денежных средств на закупку подвижного состава в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целесообразности его </w:t>
            </w:r>
            <w:r>
              <w:rPr>
                <w:rFonts w:ascii="Times New Roman" w:hAnsi="Times New Roman"/>
                <w:b w:val="1"/>
                <w:sz w:val="24"/>
              </w:rPr>
              <w:t>развития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</w:p>
        </w:tc>
        <w:tc>
          <w:tcPr>
            <w:tcW w:type="dxa" w:w="2268"/>
          </w:tcPr>
          <w:p w14:paraId="32000000">
            <w:pPr>
              <w:rPr>
                <w:rFonts w:ascii="Times New Roman" w:hAnsi="Times New Roman"/>
                <w:sz w:val="24"/>
              </w:rPr>
            </w:pPr>
          </w:p>
          <w:p w14:paraId="33000000">
            <w:pPr>
              <w:rPr>
                <w:rFonts w:ascii="Times New Roman" w:hAnsi="Times New Roman"/>
                <w:sz w:val="24"/>
              </w:rPr>
            </w:pPr>
          </w:p>
          <w:p w14:paraId="34000000">
            <w:pPr>
              <w:rPr>
                <w:rFonts w:ascii="Times New Roman" w:hAnsi="Times New Roman"/>
                <w:sz w:val="24"/>
              </w:rPr>
            </w:pP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</w:t>
            </w:r>
          </w:p>
        </w:tc>
        <w:tc>
          <w:tcPr>
            <w:tcW w:type="dxa" w:w="2410"/>
          </w:tcPr>
          <w:p w14:paraId="36000000">
            <w:pPr>
              <w:rPr>
                <w:rFonts w:ascii="Times New Roman" w:hAnsi="Times New Roman"/>
                <w:sz w:val="24"/>
              </w:rPr>
            </w:pPr>
          </w:p>
          <w:p w14:paraId="37000000">
            <w:pPr>
              <w:rPr>
                <w:rFonts w:ascii="Times New Roman" w:hAnsi="Times New Roman"/>
                <w:sz w:val="24"/>
              </w:rPr>
            </w:pPr>
          </w:p>
          <w:p w14:paraId="38000000">
            <w:pPr>
              <w:rPr>
                <w:rFonts w:ascii="Times New Roman" w:hAnsi="Times New Roman"/>
                <w:sz w:val="24"/>
              </w:rPr>
            </w:pPr>
          </w:p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</w:t>
            </w:r>
          </w:p>
        </w:tc>
      </w:tr>
      <w:tr>
        <w:tc>
          <w:tcPr>
            <w:tcW w:type="dxa" w:w="425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type="dxa" w:w="5529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Требуемый объем денежных средств на ремонт, поддержание в рабочем состоянии инфраструктуры (подстанций, депо, путей и </w:t>
            </w:r>
            <w:r>
              <w:rPr>
                <w:rFonts w:ascii="Times New Roman" w:hAnsi="Times New Roman"/>
                <w:sz w:val="24"/>
              </w:rPr>
              <w:t>др</w:t>
            </w:r>
            <w:r>
              <w:rPr>
                <w:rFonts w:ascii="Times New Roman" w:hAnsi="Times New Roman"/>
                <w:sz w:val="24"/>
              </w:rPr>
              <w:t>), тыс. рублей</w:t>
            </w:r>
          </w:p>
          <w:p w14:paraId="3C000000">
            <w:r>
              <w:rPr>
                <w:rFonts w:ascii="Times New Roman" w:hAnsi="Times New Roman"/>
                <w:sz w:val="24"/>
              </w:rPr>
              <w:t xml:space="preserve"> ------------------------------------------------------------</w:t>
            </w:r>
            <w:r>
              <w:rPr>
                <w:rFonts w:ascii="Times New Roman" w:hAnsi="Times New Roman"/>
                <w:sz w:val="24"/>
              </w:rPr>
              <w:t>-----</w:t>
            </w:r>
            <w:r>
              <w:t xml:space="preserve"> 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Дополнительно </w:t>
            </w:r>
            <w:r>
              <w:rPr>
                <w:rFonts w:ascii="Times New Roman" w:hAnsi="Times New Roman"/>
                <w:sz w:val="24"/>
              </w:rPr>
              <w:t>требуемый</w:t>
            </w:r>
            <w:r>
              <w:rPr>
                <w:rFonts w:ascii="Times New Roman" w:hAnsi="Times New Roman"/>
                <w:sz w:val="24"/>
              </w:rPr>
              <w:t xml:space="preserve"> объем денежных средств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целесообразности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инфраструктуры </w:t>
            </w:r>
            <w:r>
              <w:rPr>
                <w:rFonts w:ascii="Times New Roman" w:hAnsi="Times New Roman"/>
                <w:sz w:val="24"/>
              </w:rPr>
              <w:t xml:space="preserve">(строительство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новых </w:t>
            </w:r>
            <w:r>
              <w:rPr>
                <w:rFonts w:ascii="Times New Roman" w:hAnsi="Times New Roman"/>
                <w:sz w:val="24"/>
              </w:rPr>
              <w:t>подстанций, депо, путей и др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), тыс. рублей</w:t>
            </w:r>
          </w:p>
        </w:tc>
        <w:tc>
          <w:tcPr>
            <w:tcW w:type="dxa" w:w="2268"/>
          </w:tcPr>
          <w:p w14:paraId="3E000000">
            <w:pPr>
              <w:rPr>
                <w:rFonts w:ascii="Times New Roman" w:hAnsi="Times New Roman"/>
                <w:sz w:val="24"/>
              </w:rPr>
            </w:pPr>
          </w:p>
          <w:p w14:paraId="3F000000">
            <w:pPr>
              <w:rPr>
                <w:rFonts w:ascii="Times New Roman" w:hAnsi="Times New Roman"/>
                <w:sz w:val="24"/>
              </w:rPr>
            </w:pPr>
          </w:p>
          <w:p w14:paraId="40000000">
            <w:pPr>
              <w:rPr>
                <w:rFonts w:ascii="Times New Roman" w:hAnsi="Times New Roman"/>
                <w:sz w:val="24"/>
              </w:rPr>
            </w:pPr>
          </w:p>
          <w:p w14:paraId="41000000">
            <w:pPr>
              <w:rPr>
                <w:rFonts w:ascii="Times New Roman" w:hAnsi="Times New Roman"/>
                <w:sz w:val="24"/>
              </w:rPr>
            </w:pPr>
          </w:p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</w:t>
            </w:r>
          </w:p>
        </w:tc>
        <w:tc>
          <w:tcPr>
            <w:tcW w:type="dxa" w:w="2410"/>
          </w:tcPr>
          <w:p w14:paraId="43000000">
            <w:pPr>
              <w:rPr>
                <w:rFonts w:ascii="Times New Roman" w:hAnsi="Times New Roman"/>
                <w:sz w:val="24"/>
              </w:rPr>
            </w:pPr>
          </w:p>
          <w:p w14:paraId="44000000">
            <w:pPr>
              <w:rPr>
                <w:rFonts w:ascii="Times New Roman" w:hAnsi="Times New Roman"/>
                <w:sz w:val="24"/>
              </w:rPr>
            </w:pPr>
          </w:p>
          <w:p w14:paraId="45000000">
            <w:pPr>
              <w:rPr>
                <w:rFonts w:ascii="Times New Roman" w:hAnsi="Times New Roman"/>
                <w:sz w:val="24"/>
              </w:rPr>
            </w:pPr>
          </w:p>
          <w:p w14:paraId="46000000">
            <w:pPr>
              <w:rPr>
                <w:rFonts w:ascii="Times New Roman" w:hAnsi="Times New Roman"/>
                <w:sz w:val="24"/>
              </w:rPr>
            </w:pPr>
          </w:p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--------------------------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529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4678"/>
            <w:gridSpan w:val="2"/>
          </w:tcPr>
          <w:p w14:paraId="4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в графе указать альтернативн</w:t>
            </w:r>
            <w:r>
              <w:rPr>
                <w:rFonts w:ascii="Times New Roman" w:hAnsi="Times New Roman"/>
                <w:sz w:val="20"/>
              </w:rPr>
              <w:t>ый вид</w:t>
            </w:r>
            <w:r>
              <w:rPr>
                <w:rFonts w:ascii="Times New Roman" w:hAnsi="Times New Roman"/>
                <w:sz w:val="20"/>
              </w:rPr>
              <w:t xml:space="preserve"> транспорта</w:t>
            </w:r>
          </w:p>
          <w:p w14:paraId="4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(если </w:t>
            </w:r>
            <w:r>
              <w:rPr>
                <w:rFonts w:ascii="Times New Roman" w:hAnsi="Times New Roman"/>
                <w:sz w:val="20"/>
              </w:rPr>
              <w:t xml:space="preserve">рассматриваются </w:t>
            </w:r>
            <w:r>
              <w:rPr>
                <w:rFonts w:ascii="Times New Roman" w:hAnsi="Times New Roman"/>
                <w:sz w:val="20"/>
              </w:rPr>
              <w:t>несколько видов, то разбить соответствующее количество столбцов)</w:t>
            </w:r>
          </w:p>
        </w:tc>
      </w:tr>
      <w:tr>
        <w:tc>
          <w:tcPr>
            <w:tcW w:type="dxa" w:w="425"/>
          </w:tcPr>
          <w:p w14:paraId="4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требуемый объем закупок подвижного состава альтернативного вида транспорта, </w:t>
            </w: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4678"/>
            <w:gridSpan w:val="2"/>
          </w:tcPr>
          <w:p w14:paraId="4F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50000000">
            <w:pPr>
              <w:rPr>
                <w:sz w:val="24"/>
              </w:rPr>
            </w:pPr>
          </w:p>
        </w:tc>
        <w:tc>
          <w:tcPr>
            <w:tcW w:type="dxa" w:w="5529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требуемый объем денежных средств на закупку подвижного состава альтернативного вида транспорта, тыс. рублей</w:t>
            </w:r>
          </w:p>
        </w:tc>
        <w:tc>
          <w:tcPr>
            <w:tcW w:type="dxa" w:w="4678"/>
            <w:gridSpan w:val="2"/>
          </w:tcPr>
          <w:p w14:paraId="52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53000000">
            <w:pPr>
              <w:rPr>
                <w:sz w:val="24"/>
              </w:rPr>
            </w:pPr>
          </w:p>
        </w:tc>
        <w:tc>
          <w:tcPr>
            <w:tcW w:type="dxa" w:w="5529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ребуемый объем денежных средств на </w:t>
            </w:r>
            <w:r>
              <w:rPr>
                <w:rFonts w:ascii="Times New Roman" w:hAnsi="Times New Roman"/>
                <w:sz w:val="24"/>
              </w:rPr>
              <w:t>создание всей инфраструктуры</w:t>
            </w:r>
            <w:r>
              <w:rPr>
                <w:rFonts w:ascii="Times New Roman" w:hAnsi="Times New Roman"/>
                <w:sz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</w:rPr>
              <w:t xml:space="preserve">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др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678"/>
            <w:gridSpan w:val="2"/>
          </w:tcPr>
          <w:p w14:paraId="55000000">
            <w:pPr>
              <w:rPr>
                <w:sz w:val="24"/>
              </w:rPr>
            </w:pPr>
          </w:p>
        </w:tc>
      </w:tr>
      <w:tr>
        <w:trPr>
          <w:trHeight w:hRule="atLeast" w:val="1928"/>
        </w:trPr>
        <w:tc>
          <w:tcPr>
            <w:tcW w:type="dxa" w:w="425"/>
          </w:tcPr>
          <w:p w14:paraId="56000000">
            <w:pPr>
              <w:rPr>
                <w:sz w:val="24"/>
              </w:rPr>
            </w:pPr>
          </w:p>
        </w:tc>
        <w:tc>
          <w:tcPr>
            <w:tcW w:type="dxa" w:w="5529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Вывод о целесообразности</w:t>
            </w:r>
            <w:r>
              <w:rPr>
                <w:rFonts w:ascii="Times New Roman" w:hAnsi="Times New Roman"/>
                <w:sz w:val="24"/>
              </w:rPr>
              <w:t>/нецелесообразности</w:t>
            </w:r>
            <w:r>
              <w:rPr>
                <w:rFonts w:ascii="Times New Roman" w:hAnsi="Times New Roman"/>
                <w:sz w:val="24"/>
              </w:rPr>
              <w:t xml:space="preserve"> сохранения/развития трамваев, метрополитена в увязке с развитием иных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 xml:space="preserve"> (исходя из анализа затраты/выгоды,</w:t>
            </w:r>
          </w:p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необходимости, с дополнительными обоснованиями)</w:t>
            </w:r>
          </w:p>
        </w:tc>
        <w:tc>
          <w:tcPr>
            <w:tcW w:type="dxa" w:w="4678"/>
            <w:gridSpan w:val="2"/>
          </w:tcPr>
          <w:p w14:paraId="59000000">
            <w:pPr>
              <w:rPr>
                <w:sz w:val="24"/>
              </w:rPr>
            </w:pPr>
          </w:p>
        </w:tc>
      </w:tr>
    </w:tbl>
    <w:p w14:paraId="5A000000">
      <w:pPr>
        <w:rPr>
          <w:rFonts w:ascii="Times New Roman" w:hAnsi="Times New Roman"/>
          <w:sz w:val="28"/>
        </w:rPr>
      </w:pPr>
    </w:p>
    <w:sectPr>
      <w:pgSz w:h="16838" w:w="11906"/>
      <w:pgMar w:bottom="538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rPr>
      <w:rFonts w:ascii="XO Thames" w:hAnsi="XO Thames"/>
      <w:color w:val="757575"/>
      <w:sz w:val="20"/>
    </w:rPr>
  </w:style>
  <w:style w:styleId="Style_12_ch" w:type="character">
    <w:name w:val="Footnote"/>
    <w:link w:val="Style_12"/>
    <w:rPr>
      <w:rFonts w:ascii="XO Thames" w:hAnsi="XO Thames"/>
      <w:color w:val="757575"/>
      <w:sz w:val="20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