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FE" w:rsidRDefault="001C767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F47AFE" w:rsidRDefault="00F47AF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7AFE" w:rsidRDefault="00F47AF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7AFE" w:rsidRDefault="001C76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F47AFE" w:rsidRDefault="001C76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региональных проектных групп в субъектах Российской Федерации в рамках национального проекта "Безопасные и качественные автомобильные дороги"</w:t>
      </w:r>
    </w:p>
    <w:p w:rsidR="00F47AFE" w:rsidRDefault="00F47AF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7AFE" w:rsidRDefault="001C767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</w:t>
      </w:r>
      <w:r>
        <w:rPr>
          <w:rFonts w:ascii="Times New Roman" w:hAnsi="Times New Roman" w:cs="Times New Roman"/>
          <w:sz w:val="28"/>
        </w:rPr>
        <w:t xml:space="preserve">в целях реализации положений Указа Президента Российской Федерации от 7 мая 2018 г. № 204 "О национальных целях и стратегических задачах развития Российской Федерации на период до 2024 года" и </w:t>
      </w:r>
      <w:r>
        <w:rPr>
          <w:rFonts w:ascii="Times New Roman" w:hAnsi="Times New Roman" w:cs="Times New Roman"/>
          <w:sz w:val="28"/>
          <w:szCs w:val="28"/>
        </w:rPr>
        <w:t xml:space="preserve">определяют основные принципы и подходы проектного управления в </w:t>
      </w:r>
      <w:r>
        <w:rPr>
          <w:rFonts w:ascii="Times New Roman" w:hAnsi="Times New Roman" w:cs="Times New Roman"/>
          <w:sz w:val="28"/>
          <w:szCs w:val="28"/>
        </w:rPr>
        <w:t>субъектах Российской Федерации, в том числе при реализации национального проекта «Безопасные и качественные автомобильные дороги» (далее – национальный проект, БКАД).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организации проектной деятельности, необходимо руководствоваться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Положением об органи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зации проектной деятельности в Правительстве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 утвержденным постановлением Правительства Российской Федерации от 15 октября 2016 г. № 1050 и методическими указаниями по разработке национальных проектов (программ) от 04 июня 2018 г. № 40</w:t>
      </w:r>
      <w:r>
        <w:rPr>
          <w:rFonts w:ascii="Times New Roman" w:hAnsi="Times New Roman"/>
          <w:color w:val="000000"/>
          <w:sz w:val="28"/>
          <w:szCs w:val="28"/>
        </w:rPr>
        <w:t>72п-П6.</w:t>
      </w:r>
    </w:p>
    <w:p w:rsidR="00F47AFE" w:rsidRDefault="00F47AFE">
      <w:pPr>
        <w:spacing w:line="360" w:lineRule="auto"/>
      </w:pPr>
      <w:bookmarkStart w:id="0" w:name="_GoBack"/>
      <w:bookmarkEnd w:id="0"/>
    </w:p>
    <w:p w:rsidR="00F47AFE" w:rsidRDefault="001C767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Создание региональной проектной группы</w:t>
      </w:r>
    </w:p>
    <w:p w:rsidR="00A44FC9" w:rsidRDefault="00A44FC9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74">
        <w:rPr>
          <w:rFonts w:ascii="Times New Roman" w:hAnsi="Times New Roman"/>
          <w:sz w:val="28"/>
          <w:szCs w:val="28"/>
        </w:rPr>
        <w:t xml:space="preserve">Региональная проектная группа создается в каждом субъекте РФ </w:t>
      </w:r>
      <w:r w:rsidRPr="001C7674">
        <w:rPr>
          <w:rFonts w:ascii="Times New Roman" w:hAnsi="Times New Roman"/>
          <w:sz w:val="28"/>
          <w:szCs w:val="28"/>
        </w:rPr>
        <w:t xml:space="preserve">с привлечением администраций муниципальных образований, соответствующего </w:t>
      </w:r>
      <w:r w:rsidRPr="001C7674">
        <w:rPr>
          <w:rFonts w:ascii="Times New Roman" w:hAnsi="Times New Roman"/>
          <w:sz w:val="28"/>
          <w:szCs w:val="28"/>
        </w:rPr>
        <w:lastRenderedPageBreak/>
        <w:t>подведомственного Росавтодору федерального казенного учреждения, регионального подразделения ГИБДД, представителя ФАУ «Росдорнии» и иных собственников автомобильных дорог общего пользования</w:t>
      </w:r>
      <w:r w:rsidRPr="001C7674">
        <w:rPr>
          <w:rFonts w:ascii="Times New Roman" w:hAnsi="Times New Roman"/>
          <w:sz w:val="28"/>
          <w:szCs w:val="28"/>
        </w:rPr>
        <w:t xml:space="preserve"> с дальнейшим утверждением состава в соответствии с порядком организации проектной деятельности в субъекте РФ</w:t>
      </w:r>
    </w:p>
    <w:p w:rsidR="00F47AFE" w:rsidRDefault="001C767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организации взаимодействия при реализации национального проекта «Безопасные и качественные автомобильные дороги» и входящих в его состав федеральных проектов администрации субъектов Российской Федерации направляют распорядительный документ</w:t>
      </w:r>
      <w:r>
        <w:rPr>
          <w:rFonts w:ascii="Times New Roman" w:hAnsi="Times New Roman"/>
          <w:sz w:val="28"/>
          <w:szCs w:val="28"/>
        </w:rPr>
        <w:t xml:space="preserve">, на основании которого создается региональная проектная группа на электронный адрес </w:t>
      </w:r>
      <w:hyperlink r:id="rId12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bkad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rosdornii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, а также в Министерство транспорта Российской Федерации в установленном порядке.</w:t>
      </w:r>
    </w:p>
    <w:p w:rsidR="00F47AFE" w:rsidRDefault="00F47AFE">
      <w:pPr>
        <w:spacing w:before="20" w:afterLines="20" w:after="48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47AFE" w:rsidRDefault="001C7674">
      <w:pPr>
        <w:spacing w:before="20" w:afterLines="20" w:after="48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Цели и задачи региональных про</w:t>
      </w:r>
      <w:r>
        <w:rPr>
          <w:rFonts w:ascii="Times New Roman" w:hAnsi="Times New Roman"/>
          <w:i/>
          <w:sz w:val="28"/>
          <w:szCs w:val="28"/>
        </w:rPr>
        <w:t>ектных групп</w:t>
      </w:r>
    </w:p>
    <w:p w:rsidR="00F47AFE" w:rsidRDefault="00F47AFE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региональных проектных групп осуществляется в целях обеспечения:</w:t>
      </w:r>
    </w:p>
    <w:p w:rsidR="00F47AFE" w:rsidRDefault="001C7674">
      <w:pPr>
        <w:pStyle w:val="a4"/>
        <w:numPr>
          <w:ilvl w:val="0"/>
          <w:numId w:val="1"/>
        </w:numPr>
        <w:tabs>
          <w:tab w:val="left" w:pos="1134"/>
        </w:tabs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целей, показателей, оперативного управления реализацией национального проекта и входящими в его состав федеральными проектами в субъекте РФ;</w:t>
      </w:r>
    </w:p>
    <w:p w:rsidR="00F47AFE" w:rsidRDefault="001C7674">
      <w:pPr>
        <w:pStyle w:val="a4"/>
        <w:numPr>
          <w:ilvl w:val="0"/>
          <w:numId w:val="1"/>
        </w:numPr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рабочих органов проекта и их работы в субъекте РФ;</w:t>
      </w:r>
    </w:p>
    <w:p w:rsidR="00F47AFE" w:rsidRDefault="000C3659">
      <w:pPr>
        <w:pStyle w:val="a4"/>
        <w:numPr>
          <w:ilvl w:val="0"/>
          <w:numId w:val="1"/>
        </w:numPr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1C7674">
        <w:rPr>
          <w:rFonts w:ascii="Times New Roman" w:hAnsi="Times New Roman"/>
          <w:sz w:val="28"/>
          <w:szCs w:val="28"/>
        </w:rPr>
        <w:t>ормирования программы дорожной деятельности субъекта РФ (далее – ПДД);</w:t>
      </w:r>
    </w:p>
    <w:p w:rsidR="00F47AFE" w:rsidRDefault="001C7674">
      <w:pPr>
        <w:pStyle w:val="a4"/>
        <w:numPr>
          <w:ilvl w:val="0"/>
          <w:numId w:val="1"/>
        </w:numPr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Мониторинга реализации и формирования отчетности по национальному проекту и вход</w:t>
      </w:r>
      <w:r>
        <w:rPr>
          <w:rFonts w:ascii="Times New Roman" w:hAnsi="Times New Roman"/>
          <w:sz w:val="28"/>
          <w:szCs w:val="28"/>
        </w:rPr>
        <w:t>ящим в его состав федеральным проектам в субъекте РФ;</w:t>
      </w:r>
    </w:p>
    <w:p w:rsidR="00F47AFE" w:rsidRDefault="001C7674">
      <w:pPr>
        <w:pStyle w:val="a4"/>
        <w:numPr>
          <w:ilvl w:val="0"/>
          <w:numId w:val="1"/>
        </w:numPr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Координации деятельности участников национального проекта на уровне субъекта РФ;</w:t>
      </w:r>
    </w:p>
    <w:p w:rsidR="00F47AFE" w:rsidRDefault="001C7674">
      <w:pPr>
        <w:pStyle w:val="a4"/>
        <w:numPr>
          <w:ilvl w:val="0"/>
          <w:numId w:val="1"/>
        </w:numPr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взаимодействия между участниками национального проекта, в части обмена информацией в субъекте РФ;</w:t>
      </w:r>
    </w:p>
    <w:p w:rsidR="00F47AFE" w:rsidRDefault="001C7674">
      <w:pPr>
        <w:pStyle w:val="a4"/>
        <w:numPr>
          <w:ilvl w:val="0"/>
          <w:numId w:val="1"/>
        </w:numPr>
        <w:spacing w:before="20" w:afterLines="20" w:after="48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администрации субъекта Российской Федерации и иных органах государственной власти, участвующих в реализации национального проекта и входящих в его состав федеральных проектах, внедрения и обеспечения использования на постоянной основе в своей деятельнос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 системы управления проектной деятельностью, разработанной Министерством транспорта Российской Федерации;</w:t>
      </w:r>
    </w:p>
    <w:p w:rsidR="00F47AFE" w:rsidRDefault="001C7674">
      <w:pPr>
        <w:pStyle w:val="a4"/>
        <w:numPr>
          <w:ilvl w:val="0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с участием заинтересованных органов государственной власти оценок и иных контрольных мероприятий в отношении национального проекта и итог</w:t>
      </w:r>
      <w:r>
        <w:rPr>
          <w:rFonts w:ascii="Times New Roman" w:hAnsi="Times New Roman"/>
          <w:sz w:val="28"/>
          <w:szCs w:val="28"/>
        </w:rPr>
        <w:t>ов реализации национального проекта, а также подготовки соответствующих рекомендаций и предложений.</w:t>
      </w:r>
    </w:p>
    <w:p w:rsidR="00F47AFE" w:rsidRDefault="001C7674">
      <w:pPr>
        <w:pStyle w:val="a4"/>
        <w:spacing w:before="20" w:afterLines="20" w:after="48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задачей региональных проектных групп является координация деятельности участников реализации национального проекта и входящих в его состав федераль</w:t>
      </w:r>
      <w:r>
        <w:rPr>
          <w:rFonts w:ascii="Times New Roman" w:hAnsi="Times New Roman"/>
          <w:sz w:val="28"/>
          <w:szCs w:val="28"/>
        </w:rPr>
        <w:t>ных проектов.</w:t>
      </w:r>
    </w:p>
    <w:p w:rsidR="00F47AFE" w:rsidRDefault="001C767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конфликта между должностной и проектной нагрузкой работников приоритет имеют проектные задачи.</w:t>
      </w:r>
    </w:p>
    <w:p w:rsidR="00F47AFE" w:rsidRDefault="001C76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конфликта между проектной нагрузкой работников по национальному проекту и ведомственному проекту приоритет имеют задачи по национ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проекту.</w:t>
      </w:r>
    </w:p>
    <w:p w:rsidR="00F47AFE" w:rsidRDefault="00F47AFE">
      <w:pPr>
        <w:spacing w:line="360" w:lineRule="auto"/>
        <w:ind w:firstLine="709"/>
        <w:jc w:val="both"/>
      </w:pPr>
    </w:p>
    <w:p w:rsidR="00F47AFE" w:rsidRDefault="001C7674">
      <w:pPr>
        <w:spacing w:before="20" w:afterLines="20" w:after="48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Структура региональной проектной группы</w:t>
      </w:r>
    </w:p>
    <w:p w:rsidR="00F47AFE" w:rsidRDefault="00F47AFE">
      <w:pPr>
        <w:spacing w:before="20" w:afterLines="20" w:after="48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/>
          <w:sz w:val="28"/>
          <w:szCs w:val="28"/>
        </w:rPr>
        <w:t xml:space="preserve"> - заместитель руководителя высшего исполнительного органа власти 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или руководитель органа исполнительной власти субъекта Российской Федерации, осуществляющего управление дорожным хозяйством. 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Администратор проекта </w:t>
      </w:r>
      <w:r>
        <w:rPr>
          <w:rFonts w:ascii="Times New Roman" w:hAnsi="Times New Roman"/>
          <w:sz w:val="28"/>
          <w:szCs w:val="28"/>
        </w:rPr>
        <w:t>– руководитель структурного подразделения органа исполнительной власти субъекта Российской Федерации или ру</w:t>
      </w:r>
      <w:r>
        <w:rPr>
          <w:rFonts w:ascii="Times New Roman" w:hAnsi="Times New Roman"/>
          <w:sz w:val="28"/>
          <w:szCs w:val="28"/>
        </w:rPr>
        <w:t>ководитель структурного подразделения исполнительной власти субъекта Российской Федерации, осуществляющего управление дорожным хозяйством.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Руководители (заместители руководителей) организаций, участвующих в реализации национального проекта.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регион</w:t>
      </w:r>
      <w:r>
        <w:rPr>
          <w:rFonts w:ascii="Times New Roman" w:hAnsi="Times New Roman"/>
          <w:sz w:val="28"/>
          <w:szCs w:val="28"/>
        </w:rPr>
        <w:t>альной проектной группы рекомендуется включать: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руководитель (заместитель руководителя) подведомственного Росавтодору федерального казенного учреждения;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руководитель (заместитель руководителя) территориального подразделения ГИБДД МВД России;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</w:t>
      </w:r>
      <w:r>
        <w:rPr>
          <w:rFonts w:ascii="Times New Roman" w:hAnsi="Times New Roman"/>
          <w:sz w:val="28"/>
          <w:szCs w:val="28"/>
        </w:rPr>
        <w:t>тель (заместитель руководителя) территориального органа Ространснадзора;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руководитель (заместитель руководителя) филиала Государственной компании «Автодор» (в случае необходимости);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представителя ФАУ «Росдорнии» (по согласованию);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руководители (замес</w:t>
      </w:r>
      <w:r>
        <w:rPr>
          <w:rFonts w:ascii="Times New Roman" w:hAnsi="Times New Roman"/>
          <w:sz w:val="28"/>
          <w:szCs w:val="28"/>
        </w:rPr>
        <w:t>тители руководителя) органов исполнительной власти муниципальных образований, на территории которых осуществляются мероприятия, направленные на достижение целевых показателей национального проекта и входящих в его состав федеральных проектов;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</w:t>
      </w:r>
      <w:r>
        <w:rPr>
          <w:rFonts w:ascii="Times New Roman" w:hAnsi="Times New Roman"/>
          <w:sz w:val="28"/>
          <w:szCs w:val="28"/>
        </w:rPr>
        <w:t>и (заместители руководителя) организаций, в оперативном управлении которых находятся автомобильные дороги регионального или межмуниципального, муниципального значения;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руководители (заместители руководителя) органов муниципального управления жилищно-комм</w:t>
      </w:r>
      <w:r>
        <w:rPr>
          <w:rFonts w:ascii="Times New Roman" w:hAnsi="Times New Roman"/>
          <w:sz w:val="28"/>
          <w:szCs w:val="28"/>
        </w:rPr>
        <w:t>унальным хозяйством.</w:t>
      </w:r>
    </w:p>
    <w:p w:rsidR="00F47AFE" w:rsidRDefault="00F47AFE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сформировать </w:t>
      </w:r>
      <w:r>
        <w:rPr>
          <w:rFonts w:ascii="Times New Roman" w:hAnsi="Times New Roman"/>
          <w:b/>
          <w:sz w:val="28"/>
          <w:szCs w:val="28"/>
        </w:rPr>
        <w:t>экспертные группы</w:t>
      </w:r>
      <w:r>
        <w:rPr>
          <w:rFonts w:ascii="Times New Roman" w:hAnsi="Times New Roman"/>
          <w:sz w:val="28"/>
          <w:szCs w:val="28"/>
        </w:rPr>
        <w:t xml:space="preserve"> по национальному проекту (с функционалом согласно постановлению Правительства Российской Федерации от 15 октября 2016г. №1050) с обязательным включением в данные группы представителей общественно</w:t>
      </w:r>
      <w:r>
        <w:rPr>
          <w:rFonts w:ascii="Times New Roman" w:hAnsi="Times New Roman"/>
          <w:sz w:val="28"/>
          <w:szCs w:val="28"/>
        </w:rPr>
        <w:t>сти, представителей средств массовой информации и экспертного сообщества.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Подобные экспертные группы окажут не только положительное влияние на информированность граждан о ходе реализации Национального проекта и </w:t>
      </w:r>
      <w:r>
        <w:rPr>
          <w:rFonts w:ascii="Times New Roman" w:hAnsi="Times New Roman"/>
          <w:sz w:val="28"/>
          <w:szCs w:val="28"/>
        </w:rPr>
        <w:lastRenderedPageBreak/>
        <w:t>входящих в его состав федеральных проектов, н</w:t>
      </w:r>
      <w:r>
        <w:rPr>
          <w:rFonts w:ascii="Times New Roman" w:hAnsi="Times New Roman"/>
          <w:sz w:val="28"/>
          <w:szCs w:val="28"/>
        </w:rPr>
        <w:t>о и послужат основой для процессов общественного обсуждения программ комплексного развития объединенной дорожной сети субъектов Российской Федерации. Общественное обсуждение программ комплексного развития объединенной дорожной сети на предстоящий календарн</w:t>
      </w:r>
      <w:r>
        <w:rPr>
          <w:rFonts w:ascii="Times New Roman" w:hAnsi="Times New Roman"/>
          <w:sz w:val="28"/>
          <w:szCs w:val="28"/>
        </w:rPr>
        <w:t>ый год следует проводить ежегодно, так же как и обсуждение результатов исполнения программы текущего года.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следует сформировать рабочие группы по федеральным проектам </w:t>
      </w:r>
      <w:r>
        <w:rPr>
          <w:rFonts w:ascii="Times New Roman" w:hAnsi="Times New Roman"/>
          <w:sz w:val="28"/>
          <w:szCs w:val="28"/>
        </w:rPr>
        <w:t>входящих в состав национального проекта</w:t>
      </w:r>
      <w:r w:rsidR="00CD4E02">
        <w:rPr>
          <w:rFonts w:ascii="Times New Roman" w:hAnsi="Times New Roman"/>
          <w:sz w:val="28"/>
          <w:szCs w:val="28"/>
        </w:rPr>
        <w:t xml:space="preserve"> с о</w:t>
      </w:r>
      <w:r>
        <w:rPr>
          <w:rFonts w:ascii="Times New Roman" w:hAnsi="Times New Roman"/>
          <w:b/>
          <w:sz w:val="28"/>
          <w:szCs w:val="28"/>
        </w:rPr>
        <w:t>бязательн</w:t>
      </w:r>
      <w:r w:rsidR="00CD4E02">
        <w:rPr>
          <w:rFonts w:ascii="Times New Roman" w:hAnsi="Times New Roman"/>
          <w:b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формирование</w:t>
      </w:r>
      <w:r w:rsidR="00CD4E0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рабочей группы, ответственной за внедрение общедоступной информационной системы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формированием и использованием средств дорожных фондов всех уровней, а такж</w:t>
      </w:r>
      <w:r>
        <w:rPr>
          <w:rFonts w:ascii="Times New Roman" w:hAnsi="Times New Roman"/>
          <w:sz w:val="28"/>
          <w:szCs w:val="28"/>
        </w:rPr>
        <w:t>е рабочей группы, ответственной за информационное сопровождение реализации национального проекта.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экспертных и рабочих групп следует в </w:t>
      </w:r>
      <w:r>
        <w:rPr>
          <w:rFonts w:ascii="Times New Roman" w:hAnsi="Times New Roman"/>
          <w:b/>
          <w:sz w:val="28"/>
          <w:szCs w:val="28"/>
        </w:rPr>
        <w:t>обязательном</w:t>
      </w:r>
      <w:r>
        <w:rPr>
          <w:rFonts w:ascii="Times New Roman" w:hAnsi="Times New Roman"/>
          <w:sz w:val="28"/>
          <w:szCs w:val="28"/>
        </w:rPr>
        <w:t xml:space="preserve"> порядке включать в состав региональной проектной группы.</w:t>
      </w:r>
    </w:p>
    <w:p w:rsidR="00F47AFE" w:rsidRDefault="00F47AFE">
      <w:pPr>
        <w:spacing w:before="20" w:afterLines="20" w:after="48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7AFE" w:rsidRDefault="001C7674">
      <w:pPr>
        <w:spacing w:before="20" w:afterLines="20" w:after="48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Требования к региональным проектным </w:t>
      </w:r>
      <w:r>
        <w:rPr>
          <w:rFonts w:ascii="Times New Roman" w:hAnsi="Times New Roman"/>
          <w:i/>
          <w:sz w:val="28"/>
          <w:szCs w:val="28"/>
        </w:rPr>
        <w:t>группам</w:t>
      </w:r>
    </w:p>
    <w:p w:rsidR="00F47AFE" w:rsidRDefault="001C7674">
      <w:pPr>
        <w:spacing w:before="20" w:afterLines="20" w:after="48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постановления Правительства Российской Федерации от 15 октября 2016 г. № 1050, управление национальным проектом и входящими в его состав федеральными проектами, а также взаимодействие между участниками проектов</w:t>
      </w:r>
      <w:r>
        <w:rPr>
          <w:rFonts w:ascii="Times New Roman" w:hAnsi="Times New Roman"/>
          <w:sz w:val="28"/>
          <w:szCs w:val="28"/>
        </w:rPr>
        <w:t xml:space="preserve"> осуществляется посредством системы управления проектной деятельностью, разработанной Министерством транспорта Российской Федерации.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включить в состав региональных проектных групп по реализации национального проекта БКАД представителей жилищно-комм</w:t>
      </w:r>
      <w:r>
        <w:rPr>
          <w:rFonts w:ascii="Times New Roman" w:hAnsi="Times New Roman"/>
          <w:sz w:val="28"/>
          <w:szCs w:val="28"/>
        </w:rPr>
        <w:t>унальных служб, а также обеспечить синхронизацию мероприятий, направленных на реализацию национального проекта, с иными мероприятиями в области градостроительной деятельности, развития транспортной инфраструктуры и (или) затрагивающими транспортную инфраст</w:t>
      </w:r>
      <w:r>
        <w:rPr>
          <w:rFonts w:ascii="Times New Roman" w:hAnsi="Times New Roman"/>
          <w:sz w:val="28"/>
          <w:szCs w:val="28"/>
        </w:rPr>
        <w:t>руктуру.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в состав региональных проектных групп следует включать специалистов, ответственных за финансовое сопровождение национального проекта и работников контрактных служб (контрактных управляющих), а также специализированных организаций. </w:t>
      </w: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Такой сос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тав региональных проектных групп позволяет </w:t>
      </w:r>
      <w:r>
        <w:rPr>
          <w:rFonts w:ascii="Times New Roman" w:hAnsi="Times New Roman"/>
          <w:sz w:val="28"/>
          <w:szCs w:val="28"/>
        </w:rPr>
        <w:t xml:space="preserve">обеспечить синхронизацию мероприятий, направленных на реализацию национального проекта и входящих в его состав федеральных проектов, с иными мероприятиями в области градостроительной деятельности, развития </w:t>
      </w:r>
      <w:r>
        <w:rPr>
          <w:rFonts w:ascii="Times New Roman" w:hAnsi="Times New Roman"/>
          <w:sz w:val="28"/>
          <w:szCs w:val="28"/>
        </w:rPr>
        <w:t>транспортной инфраструктуры и (или) затрагивающими транспортную инфраструктуру.</w:t>
      </w:r>
    </w:p>
    <w:p w:rsidR="00F47AFE" w:rsidRDefault="00F47AFE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AFE" w:rsidRDefault="001C7674">
      <w:pPr>
        <w:spacing w:before="20" w:afterLines="20" w:after="48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Совещательная деятельность</w:t>
      </w:r>
    </w:p>
    <w:p w:rsidR="00F47AFE" w:rsidRDefault="00F47AFE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AFE" w:rsidRDefault="001C7674">
      <w:pPr>
        <w:spacing w:before="20" w:afterLines="20" w:after="48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организации эффективного межведомственного взаимодействия, а также своевременного выполнения мероприятий национального проекта, в рамках ра</w:t>
      </w:r>
      <w:r>
        <w:rPr>
          <w:rFonts w:ascii="Times New Roman" w:hAnsi="Times New Roman"/>
          <w:sz w:val="28"/>
          <w:szCs w:val="28"/>
        </w:rPr>
        <w:t>бочих органов, руководителям региональных проектных групп следует проводить очные рабочие совещания в рамках реализации национального проекта с периодичностью один раз в две недели.</w:t>
      </w:r>
    </w:p>
    <w:p w:rsidR="00F47AFE" w:rsidRDefault="001C767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рабочего совещания региональной проектной группы руковод</w:t>
      </w:r>
      <w:r>
        <w:rPr>
          <w:rFonts w:ascii="Times New Roman" w:hAnsi="Times New Roman" w:cs="Times New Roman"/>
          <w:sz w:val="28"/>
          <w:szCs w:val="28"/>
        </w:rPr>
        <w:t xml:space="preserve">итель проектной группы или его заместитель, ответственный за соответствующее направление деятельности, заблаговременно, но не позднее, чем за 3 рабочих дня до намеченной даты проведения рабочего совещания, организует рассылку рассматриваемых материалов. </w:t>
      </w:r>
    </w:p>
    <w:p w:rsidR="00F47AFE" w:rsidRDefault="001C76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исключительных случаях, когда соблюдение указанного срока невозможно в силу объективных причин, руководитель региональной проектной группы или его заместитель, ответственный за соответствующее направление деятельности, может принять решение о рассылке пос</w:t>
      </w:r>
      <w:r>
        <w:rPr>
          <w:rFonts w:ascii="Times New Roman" w:hAnsi="Times New Roman" w:cs="Times New Roman"/>
          <w:sz w:val="28"/>
          <w:szCs w:val="28"/>
        </w:rPr>
        <w:t>тупивших материалов в более поздние сроки.</w:t>
      </w:r>
    </w:p>
    <w:p w:rsidR="00F47AFE" w:rsidRDefault="001C76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рабочих совещаний региональных проектных групп оформляются в виде Протокола заседания за подписью руководителя региональной проектной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группы или его заместителя и направляются в Министерство транспорта Рос</w:t>
      </w:r>
      <w:r>
        <w:rPr>
          <w:rFonts w:ascii="Times New Roman" w:hAnsi="Times New Roman" w:cs="Times New Roman"/>
          <w:sz w:val="28"/>
          <w:szCs w:val="28"/>
        </w:rPr>
        <w:t>сийской Федерации не позднее 5 рабочих дней с момента проведения совещания. Копия Протокола в электронном виде (в формате P</w:t>
      </w:r>
      <w:r>
        <w:rPr>
          <w:rFonts w:ascii="Times New Roman" w:hAnsi="Times New Roman" w:cs="Times New Roman"/>
          <w:sz w:val="28"/>
          <w:szCs w:val="28"/>
          <w:lang w:val="en-US"/>
        </w:rPr>
        <w:t>DF</w:t>
      </w:r>
      <w:r>
        <w:rPr>
          <w:rFonts w:ascii="Times New Roman" w:hAnsi="Times New Roman" w:cs="Times New Roman"/>
          <w:sz w:val="28"/>
          <w:szCs w:val="28"/>
        </w:rPr>
        <w:t xml:space="preserve">) направляется всем членам региональной проектной группы. </w:t>
      </w:r>
    </w:p>
    <w:p w:rsidR="00F47AFE" w:rsidRDefault="001C76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рабочего совещания региональных проектных групп должен включать</w:t>
      </w:r>
      <w:r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F47AFE" w:rsidRDefault="001C767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совещания;</w:t>
      </w:r>
    </w:p>
    <w:p w:rsidR="00F47AFE" w:rsidRDefault="001C767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присутствующих лиц с указанием секретаря рабочего совещания;</w:t>
      </w:r>
    </w:p>
    <w:p w:rsidR="00F47AFE" w:rsidRDefault="001C767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Повестку рабочего совещания;</w:t>
      </w:r>
    </w:p>
    <w:p w:rsidR="00F47AFE" w:rsidRDefault="001C7674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Рассматриваемые вопросы (поручения) и принятые решения по ним, включая </w:t>
      </w:r>
      <w:r>
        <w:rPr>
          <w:rFonts w:ascii="Times New Roman" w:hAnsi="Times New Roman"/>
          <w:b/>
          <w:sz w:val="28"/>
          <w:szCs w:val="28"/>
        </w:rPr>
        <w:t>обязательное</w:t>
      </w:r>
      <w:r>
        <w:rPr>
          <w:rFonts w:ascii="Times New Roman" w:hAnsi="Times New Roman"/>
          <w:sz w:val="28"/>
          <w:szCs w:val="28"/>
        </w:rPr>
        <w:t xml:space="preserve"> назначение ответственног</w:t>
      </w:r>
      <w:r>
        <w:rPr>
          <w:rFonts w:ascii="Times New Roman" w:hAnsi="Times New Roman"/>
          <w:sz w:val="28"/>
          <w:szCs w:val="28"/>
        </w:rPr>
        <w:t>о лица и точных сроков исполнения.</w:t>
      </w:r>
    </w:p>
    <w:p w:rsidR="00F47AFE" w:rsidRDefault="001C7674">
      <w:pPr>
        <w:pStyle w:val="a4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рабочего совещания необходимо в первую очередь рассматривать вопросы (поручения) предыдущих рабочих совещаний с обязательным отражением достигнутых результатов в протоколе, как в случае исполнения, так и в случае н</w:t>
      </w:r>
      <w:r>
        <w:rPr>
          <w:rFonts w:ascii="Times New Roman" w:hAnsi="Times New Roman"/>
          <w:sz w:val="28"/>
          <w:szCs w:val="28"/>
        </w:rPr>
        <w:t>еисполнения поручения с указанием причин.</w:t>
      </w:r>
    </w:p>
    <w:p w:rsidR="00F47AFE" w:rsidRDefault="001C7674">
      <w:pPr>
        <w:spacing w:line="360" w:lineRule="auto"/>
        <w:ind w:firstLine="709"/>
        <w:jc w:val="both"/>
      </w:pPr>
      <w:r>
        <w:t xml:space="preserve"> </w:t>
      </w:r>
    </w:p>
    <w:sectPr w:rsidR="00F47AFE">
      <w:headerReference w:type="default" r:id="rId13"/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  <w15:commentEx w15:paraId="2"/>
  <w15:commentEx w15:paraId="3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7674">
      <w:pPr>
        <w:spacing w:after="0" w:line="240" w:lineRule="auto"/>
      </w:pPr>
      <w:r>
        <w:separator/>
      </w:r>
    </w:p>
  </w:endnote>
  <w:endnote w:type="continuationSeparator" w:id="0">
    <w:p w:rsidR="00000000" w:rsidRDefault="001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7674">
      <w:pPr>
        <w:spacing w:after="0" w:line="240" w:lineRule="auto"/>
      </w:pPr>
      <w:r>
        <w:separator/>
      </w:r>
    </w:p>
  </w:footnote>
  <w:footnote w:type="continuationSeparator" w:id="0">
    <w:p w:rsidR="00000000" w:rsidRDefault="001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FE" w:rsidRDefault="001C767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47AFE" w:rsidRDefault="00F47A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2BC9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D6C0CFE"/>
    <w:lvl w:ilvl="0" w:tplc="5FFCA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FE"/>
    <w:rsid w:val="000C3659"/>
    <w:rsid w:val="001C7674"/>
    <w:rsid w:val="008961F4"/>
    <w:rsid w:val="00A44FC9"/>
    <w:rsid w:val="00CD4E02"/>
    <w:rsid w:val="00F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kad@rosdornii.ru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3C6A-E16B-4229-AA3E-EA451B945B71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D17AC9DE-F325-4613-AEA3-4A2D81E1BD13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D068FC49-E38C-40AC-AAC9-C4DFC3A2F3D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3B8A456-AC10-41BB-A595-ED1FC0A0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Андрей Андреевич</dc:creator>
  <cp:lastModifiedBy>Тимченко Андрей Андреевич</cp:lastModifiedBy>
  <cp:revision>6</cp:revision>
  <cp:lastPrinted>2018-08-09T10:36:00Z</cp:lastPrinted>
  <dcterms:created xsi:type="dcterms:W3CDTF">2018-08-23T09:09:00Z</dcterms:created>
  <dcterms:modified xsi:type="dcterms:W3CDTF">2018-08-23T10:31:00Z</dcterms:modified>
</cp:coreProperties>
</file>