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64" w:rsidRPr="00C24564" w:rsidRDefault="00C24564" w:rsidP="00C24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ДОКЛАД МИНИСТРА ТРАНСПОРТА РФ</w:t>
      </w:r>
      <w:r w:rsidRPr="00C24564">
        <w:rPr>
          <w:rFonts w:ascii="Times New Roman" w:eastAsia="Times New Roman" w:hAnsi="Times New Roman" w:cs="Times New Roman"/>
          <w:caps/>
          <w:color w:val="000000"/>
          <w:sz w:val="20"/>
          <w:lang w:eastAsia="ru-RU"/>
        </w:rPr>
        <w:t> </w:t>
      </w:r>
      <w:r w:rsidRPr="00C24564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ИГОРЯ ЛЕВИТИНА</w:t>
      </w:r>
      <w:r w:rsidRPr="00C24564">
        <w:rPr>
          <w:rFonts w:ascii="Times New Roman" w:eastAsia="Times New Roman" w:hAnsi="Times New Roman" w:cs="Times New Roman"/>
          <w:caps/>
          <w:color w:val="000000"/>
          <w:sz w:val="20"/>
          <w:lang w:eastAsia="ru-RU"/>
        </w:rPr>
        <w:t> </w:t>
      </w:r>
      <w:r w:rsidRPr="00C24564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br/>
        <w:t>НА ПЛЕНАРНОМ ЗАСЕДАНИИ IV МЕЖДУНАРОДНОГО ТРАНСПОРТНОГО ФОРУМА «ТРАНСПОРТ РОССИИ»</w:t>
      </w:r>
    </w:p>
    <w:p w:rsidR="00C24564" w:rsidRPr="00C24564" w:rsidRDefault="00C24564" w:rsidP="00C24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24564">
        <w:rPr>
          <w:rFonts w:ascii="Times New Roman" w:eastAsia="Times New Roman" w:hAnsi="Times New Roman" w:cs="Times New Roman"/>
          <w:b/>
          <w:bCs/>
          <w:caps/>
          <w:color w:val="000080"/>
          <w:sz w:val="20"/>
          <w:szCs w:val="20"/>
          <w:lang w:eastAsia="ru-RU"/>
        </w:rPr>
        <w:t>«ТРАНСПОРТ РОССИИ: ВЫЗОВЫ ЭКОНОМИКИ БУДУЩЕГО» ВЫСТУПИЛ 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456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17 ноября 2010 года</w:t>
      </w:r>
    </w:p>
    <w:p w:rsidR="00C24564" w:rsidRPr="00C24564" w:rsidRDefault="00C24564" w:rsidP="00C24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7"/>
          <w:lang w:eastAsia="ru-RU"/>
        </w:rPr>
        <w:pict>
          <v:rect id="_x0000_i1025" style="width:0;height:1.5pt" o:hralign="center" o:hrstd="t" o:hr="t" fillcolor="#a0a0a0" stroked="f"/>
        </w:pic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" w:history="1">
        <w:r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anchor distT="57150" distB="57150" distL="57150" distR="5715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971800" cy="2943225"/>
              <wp:effectExtent l="19050" t="0" r="0" b="0"/>
              <wp:wrapSquare wrapText="bothSides"/>
              <wp:docPr id="2" name="Рисунок 2" descr="http://mintrans.ru/pressa/images/Foto_17112010_Forum/1s.jp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mintrans.ru/pressa/images/Foto_17112010_Forum/1s.jp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71800" cy="2943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Уважаемые гости и участники форума!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имени Министерства транспорта Российской Федерации и от себя лично приветствую вас на четвертом международном транспортном форуме «Транспорт России».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Ежегодное проведение данного форума уже можно назвать доброй традицией. Обсуждение основных направлений развития транспортного комплекса на полях форума способствует развитию взаимовыгодного сотрудничества, выработке решений по формированию эффективной транспортной политики.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условия усиления глобальной конкуренции, охватывающей рынки товаров, услуг, капитала и других факторов экономического роста, к качеству транспортных услуг предъявляются особые требования. Транспортная услуга должна быть не только предоставлена в кратчайшие сроки, качественно, безопасно и по разумной цене. В современных условиях необходимо активно внедрять современные технологии во все этапы транспортного процесса.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Прошлый год стал сложным для всех нас. Особенно его первая половина. Финансовый кризис, болезненно ударивший по мировой экономике, привел к существенному спаду инвестиционной активности, негативно отразился на уровне промышленного производства и спросе на транспортные услуги.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Однако, благодаря своевременно принятым мерам, удалось удержать ситуацию под контролем.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2010 Минтранс России продолжает осуществлять мероприятия по реализации основных направлений антикризисных действий и политики модернизации транспортного комплекса.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Сегодня более подробно хочу остановиться на инфраструктурных ограничениях, препятствующих эффективной работе транспортного комплекса в целом и на принимаемых мерах по их преодолению.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Параметры принятой Транспортной стратегии до 2030 года и Федеральной целевой программы «Развитие транспортной системы 2010 – 2015 годы» из-за финансового кризиса потребуют корректировки.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Перенос реализации заявленных в этих документах проектов по причине сокращения финансирования, делает их технологически нереализуемыми к концу 2015 года.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условия бюджетного сокращения нами предлагаются следующие меры: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В сфере инфраструктуры (объектов транспорта):</w:t>
      </w:r>
    </w:p>
    <w:p w:rsidR="00C24564" w:rsidRPr="00C24564" w:rsidRDefault="00C24564" w:rsidP="00C245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Восстановление существующей инфраструктуры и содержание ее в нормативном состоянии.</w:t>
      </w:r>
    </w:p>
    <w:p w:rsidR="00C24564" w:rsidRPr="00C24564" w:rsidRDefault="00C24564" w:rsidP="00C245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Завершение строящихся объектов.</w:t>
      </w:r>
    </w:p>
    <w:p w:rsidR="00C24564" w:rsidRPr="00C24564" w:rsidRDefault="00C24564" w:rsidP="00C245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Создание новых объектов с привлечением частного софинансирования на участках, где существует подтвержденная и гарантированная частными компаниями грузовая база и на участках, где существуют перегрузки пассажирского транспорта.</w:t>
      </w:r>
    </w:p>
    <w:p w:rsidR="00C24564" w:rsidRPr="00C24564" w:rsidRDefault="00C24564" w:rsidP="00C245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Продолжение работ по проектированию, с целью формирования задела на последующие периоды, сохранения кадрового потенциала, обеспечения внедрения инноваций.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В сфере организации перевозок (административные меры):</w:t>
      </w:r>
    </w:p>
    <w:p w:rsidR="00C24564" w:rsidRPr="00C24564" w:rsidRDefault="00C24564" w:rsidP="00C245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Оптимизация маршрутов грузопотоков с помощью согласования с грузовладельцами мест таможенной очистки и мест хранения и дистрибуции грузов.</w:t>
      </w:r>
    </w:p>
    <w:p w:rsidR="00C24564" w:rsidRPr="00C24564" w:rsidRDefault="00C24564" w:rsidP="00C245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Сокращение времени простоя грузов при мультимодальных перевозках.</w:t>
      </w:r>
    </w:p>
    <w:p w:rsidR="00C24564" w:rsidRPr="00C24564" w:rsidRDefault="00C24564" w:rsidP="00C245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Увеличение частоты движения общественного транспорта и сокращение времени ожидания.</w:t>
      </w:r>
    </w:p>
    <w:p w:rsidR="00C24564" w:rsidRPr="00C24564" w:rsidRDefault="00C24564" w:rsidP="00C245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Упорядочивание работы междугороднего автобусного сообщения.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развития экономики в целом, ее привлекательности необходимо обеспечить, прежде всего, транспортную доступность территорий для деловой активности. Для производственных предприятий она обеспечивается развитой сетью, а также коммерческой скоростью, качеством и надежностью транспортных услуг.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 инвестиционной активности в транспортной отрасли показывает, что сегодня транспортные компании не привлекательны для деловой активности на российском и зарубежных рынках капитала.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бирже торгуются только ГлобалТранс и Аэрофлот. Одна из причин – инфраструктурные ограничения, не способствующие их динамичному развитию.</w:t>
      </w:r>
    </w:p>
    <w:p w:rsidR="00C24564" w:rsidRPr="00C24564" w:rsidRDefault="00C24564" w:rsidP="00C2456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На рынках Европы и США – десятки привлекательных для инвестора транспортных и инфраструктурных компаний. Одна из основных причин такого положения дел – отсутствие инфраструктурных ограничений, что позволяет компаниям свободно осуществлять свою деятельность. Причем среди них немало владельцев и операторов инфраструктуры.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Класс ЧАСТНЫХ инфраструктурных компаний в России не сформирован. В настоящий момент в стадии развития находятся государственные инфраструктурные компании, которые могут обеспечивать привлечение инвестиций в создание объектов инфраструктуры, посредством различных механизмов. В первую очередь это – ОАО «Российские железные дороги», ФГУП «Росморпорт», ФГУП «Администрация гражданских аэропортов (аэродромов) (АГА)». В прошлом году также была создана государственная компания «Автодор», по которой принят отдельный закон. Государственная компания получила возможность в отличие от прежней системы привлекать в строительство автомобильных дорог средства частного сектора, как на концессионной основе, так и на условиях прямых и заемных инвестиций.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осуществлять перевозку становится определяющей при принятии решения об инвестировании в создание различного рода производств.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Например, при продаже лицензий на разработку полезных ископаемых государство и инвестор должны быть уверены, что ограничения транспортной инфраструктуры не станут препятствием для освоения месторождений и развития потребительского рынка, обеспечат вывоз и распределение грузов в необходимом объеме.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Практика заключения инвестиционных соглашений показала свою эффективность. Это соглашения между государством (на проектирование и строительство объектов инфраструктуры) и компаниями, обеспечивающими создание и работу добывающих и промышленных предприятий. Считаем целесообразным продолжить использование практики заключения подобных соглашений и распространить ее на проекты, реализуемые на условиях государственно – частного партнерства в рамках ФЦП. В настоящее время такие соглашения заключаются в рамках Инвестиционного фонда Российской Федерации. Считаем целесообразным вернуться к вопросу о закреплении источников формирования Инвестфонда как это было предусмотрено ранее в 2005 году. Это позволит и государству и частному инвестору планировать свои инвестиционные программы на перспективу.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создания основы дальнейшему развитию предлагаем продолжать подготовку предпроектых и проектных документов. Прежде всего, в связи с тем, что проектирование требует участия самых высокопрофессиональных кадров и именно этап проектирования обеспечивает практическое внедрение </w:t>
      </w: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инноваций и исключение ошибок на этапах строительства. Правильные или не правильные проектные решения – залог успеха или не успеха последующего создания объекта. Кроме этого, проделанная работа по проектам свидетельствует о том, что успех привлечения инвесторов также во многом определяется степенью профессиональной подготовки предпроектной документации.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Хочу сказать несколько слов о ликвидации административных ограничений. Повышение эффективности работы транспортной отрасли может осуществляться организационными мерами, не требующими такого значительного финансирования, как для создания объектов инфраструктуры. В частности снижение загрузки транспортной сети повышает долговечность инфраструктуры, что ведет к экономии средств бюджета. Снижение загрузки транспортной сети может быть обеспечено с помощью изменения системы обработки грузопотоков в промежуточных точках его следования к пункту назначения. Значительная роль в этом процессе принадлежит созданию системы распределения грузов по территории регионов. Например, грузы с юга России, поступающие в центральный регион сначала вынужденно следуют на север Москвы, а оттуда распределяются далее. И наоборот, следующие из порта Санкт-Петербург товары могут распределяться на юге Москвы. Таким образом, неоптимальное распределение создает дополнительную загрузку транспортной сети.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Законодательных и административных ограничений в системе распределения грузов и их временного хранения множество. Но для достижения эффекта более уместно говорить не об их корректировке, а о формировании карты с оптимальными местами размещения нескольких современных распределительных центров. Такая карта, например, подготовлена в рамках концепции Московского транспортного узла, которая также предусматривает создание новых перегрузочных комплексов.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Относительно совершенствования работы портов хочу отметить следующее. Развитие морских портов является одной из приоритетных задач на ближайшую перспективу. Одним из ограничений является недостаточная суммарная мощность угольных терминалов. В связи с этим, реализуются проекты создания специализированных высокотехнологичных угольных терминалов в морских портах Высоцк, Усть-Луга, Мурманск, Беломорск, Темрюк, Тамань, Восточный, Ванино, Посьет. Другим лимитирующим фактором в портовой инфраструктуре является недостаточная суммарная мощность зерновых терминалов. Их развитие и создание предусматривается в портах Новороссийск, Тамань, Кавказ, Оля, Усть-Луга, Ванино.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Проводимые мероприятия позволят увеличить грузооборот к 2015 году до 750 млн. тонн и конкурировать с зарубежными портами на транзитных грузопотоках по направлению «страны АТЭС – Европа и Северная Америка».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Наряду с ускорением темпов модернизации и вводом в эксплуатацию новых портовых мощностей, пункты пропуска оборудуются современными техническими средствами контроля, инспекционно-досмотровыми комплексами, проводится совершенствование технологии работы, развивается применение электронного документооборота и предварительного информирования. Это позволит перейти к уведомительному порядку контроля и сократить непроизводительные простои судов.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Необходимо пересмотреть существующую типовую схему пропуска через государственную границу, которая предусматривает комиссионный контроль судов и неоднократно подвергалась критике транспортных организаций, так как ожидание комиссии приводит к большим простоям. Минтрансом России подготовлен проект приказа о внесении изменений в типовую схему. Отметим, что аналогичные ограничения административного характера возникают на железнодорожном транспорте в связи с решением о выполнении досмотровых процедур после погрузки груза в вагоны, что приводит к простою готовых к отправке вагонов.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Проблемный вопрос в гражданской авиации – организация пропускной способности воздушного пространства на линии Запад – Восток. Авиакомпании выполняют полеты на неоптимальных эшелонах, что ведет к увеличенному расходу топлива. Предложения Минтранса России заключается в сокращении интервалов вертикального эшелонирования воздушного пространства в 2 раза, внедрении технологии и принципов зональной навигации. По данному вопросу есть решение Правительственной комиссии по транспорту и связи. В настоящее время оно находится в процессе исполнения. Необходимо снижение монопольно высоких тарифов за аэронавигационное обслуживание и цен на авиатопливо, демонополизация рынка топливного обеспечения аэропортов.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направлению сдерживания темпов роста ставок аэропортовых сборов следует отметить положительный опыт создания федеральных казенных предприятий на базе аэропортов местного значения. Такие предприятия создаются в целях устойчивого функционирования аэропортов местных воздушных линий, </w:t>
      </w: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расположенных в районах Крайнего Севера и имеющих социальную значимость. В целях снижения монопольно высоких ставок-сборов за аэропортовое обслуживание, снижения себестоимости перевозок и повышения доступности авиатранспорта целесообразно:</w:t>
      </w:r>
    </w:p>
    <w:p w:rsidR="00C24564" w:rsidRPr="00C24564" w:rsidRDefault="00C24564" w:rsidP="00C245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снижение налога на имущество для аэропортов,</w:t>
      </w:r>
    </w:p>
    <w:p w:rsidR="00C24564" w:rsidRPr="00C24564" w:rsidRDefault="00C24564" w:rsidP="00C245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градация и упрощение требований по авиационной безопасности для разных классов аэропортов,</w:t>
      </w:r>
    </w:p>
    <w:p w:rsidR="00C24564" w:rsidRPr="00C24564" w:rsidRDefault="00C24564" w:rsidP="00C245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внедрение эффективных малозатратных технологий и автоматизированных систем.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оснащения центров ЕС ОрВД и аэродромов предусматривается поставка современного высокотехнологичного и дорогостоящего радиотехнического оборудования. Минтрансом России в рамках ФЦП «Глобальная навигационная система» осуществляется оснащение воздушных судов аппаратурой спутниковой навигации, а также внедрение наземных систем функциональных дополнений, при этом данные работы выполняются за счет внебюджетных источников финансирования.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Требуется разработать новые подходы и для одного из самых массовых видов внутри российского коммерческого грузового транспорта – автомобильного, где функционирует порядка 300 тысяч хозяйствующих субъектов с парком более 5,2 млн. транспортных средств. Этот рынок пока нельзя считать эффективным. Выход на него совершенно свободный и не обременен никакими условиями и требованиями. Любой предприниматель - владелец грузового автомобиля может попасть на него, не имея достаточной материальной базы, финансового обеспечения возможных рисков, технологических навыков и квалифицированного персонала. Водительский состав, задействованный на этих перевозках, а это порядка 6 млн. чел., получает минимальную подготовку, связанную с умением управлять автомобилем и не обладает необходимыми профессиональными знаниями и навыками в области осуществления грузоперевозок.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повышения качества услуг, обеспечения безопасности перевозок и финансовой прозрачности в этом секторе транспортного рынка необходимо разработать предложения по совершенствованию системы допуска к коммерческим грузовым перевозкам и повышению профессионального мастерства персонала автоперевозчиков. Такая работа уже ведется Минтрансом России. Данные предложения корреспондируются с аналогичными мерами, давно уже применяемыми для регулирования рынка грузовых автоперевозок в странах Европы.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области международного автомобильного транспорта требуются дальнейшие меры по повышению конкурентоспособности российских перевозчиков и их доли на международном рынке транспортных услуг. Производительность отечественных перевозчиков в 1,5 раза ниже, чем у зарубежных, работающих на европейском рынке, что связано с наличием целого ряда внутренних факторов. Со стороны Минтранса России принимаются меры по улучшению дорожной инфраструктуры, совместно с ФТС - по снижению простоев при выполнении таможенных процедур. Суммарная стоимость автотранспортных услуг российского рынка международных перевозок составляет порядка 8 млрд. евро, при этом на долю отечественных перевозчиков приходится пока только 38%.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достижения паритета на рынке необходимо сохранить в условиях создания Таможенного союза ранее введенный Правительством России льготный режим приобретения и использования современных транспортных средств импортного производства на период до организации в России массового выпуска современных, отвечающих экологическим требованиям магистральных автопоездов. Определенные шаги в этом направлении уже сделаны. Так в Калужской области налажено производство автотягачей марки Volvo.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Меры господдержки обновления и наращивания парка транспортных средств российских международных перевозчиков позволят ежегодно обеспечивать создание порядка 15-18 тыс. дополнительных рабочих мест, прирост валютных доходов на 300 млн. евро, уплату налогов во все виды бюджета около 1 млрд. рублей, а также - к 2013-2014 годам достигнуть 50% доли на российском рынке международных транспортных услуг.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Отдельно хочу остановиться на текущей ситуации на железной дороге.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Существенным инфраструктурным барьером для динамичного развития экономики России является наличие ограниченных по пропускной способности участков железных дорог. К началу 2009 года протяженность ЛИМИТИРУЮЩИХ участков С ИСЧЕРПАННЫМИ ПРОВОЗНЫМИ МОЩНОСТЯМИ составила свыше 5,5 тыс. км. Из них на основных магистральных направлениях – более 3 тыс. км. В настоящее время с учетом падения объемов перевозок и реализации мер по развитию и реконструкции инфраструктуры протяженность «узких мест» сократилась на 21%. С выходом экономики из кризиса и реализацией стратегических планов по развитию добывающей и перерабатывающей промышленности объемы перевозок будут возрастать и, соответственно, будет расти нагрузка на инфраструктуру.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 соответствии с долгосрочными стратегиями министерств и планами основных отечественных горно-добывающих и перерабатывающих компаний, мы прогнозируем значительный рост перевозок сырьевых грузов ж.д. транспортом, при этом их значительная часть будет ориентирована на экспорт через морские порты.К 2020 году прогнозируемый объем перевозок грузов в порты Балтийского моря увеличится в три раза, в порты Баренцева и Белого морей – на 50%. Наиболее существенно возрастет нагрузка на железнодорожные подходы к портам Мурманск, Санкт-Петербург, Усть-Луга, Высоцк. Планируемый прирост объемов перевозок в направлении портов Юга России к 2020 году составит около 70 млн. тонн. Для освоения прогнозируемых объемов грузовых перевозок в этом направлении потребуется комплексное развитие железнодорожной инфраструктуры на ближних и дальних подходах.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Значительное увеличение перевозок грузов прогнозируется и по направлению к портам Дальнего Востока. Серьезное влияние на загрузку железнодорожной инфраструктуры Дальневосточного федерального округа окажет реализация планов по освоению месторождений сырьевых ресурсов в то время как и Транссибирская магистраль, и БАМ уже сегодня работают на пределе пропускных способностей. Поэтому принятие решений об освоении новых месторождений должно осуществляться с учетом перспектив пропускной способности железнодорожной инфраструктуры, а разработка проектов по освоению месторождений требует увязки с проектами по развитию железных дорог.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Другими лимитирующими участками на перспективу до 2020 года могут стать железнодорожные линии Уральского федерального округа, что связано с освоением нефтегазовых месторождений, а также Московского транспортного узла.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Таким образом, при прогнозируемом росте объемов перевозок на некоторых направлениях, особенно грузонапряженных, без проведения мер по их развитию и усилению могут возникнуть новые ограничивающие участки, что создаст дополнительные осложнения в эксплуатационной работе. В этой связи в целях увеличения пропускной способности железных дорог федеральной целевой программой «Развитие транспортной системы России (2010-2015 годы) и Стратегией развития железнодорожного транспорта на период до 2030 года предусматривается:</w:t>
      </w:r>
    </w:p>
    <w:p w:rsidR="00C24564" w:rsidRPr="00C24564" w:rsidRDefault="00C24564" w:rsidP="00C245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строительство дополнительных главных путей;</w:t>
      </w:r>
    </w:p>
    <w:p w:rsidR="00C24564" w:rsidRPr="00C24564" w:rsidRDefault="00C24564" w:rsidP="00C245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электрификация;</w:t>
      </w:r>
    </w:p>
    <w:p w:rsidR="00C24564" w:rsidRPr="00C24564" w:rsidRDefault="00C24564" w:rsidP="00C245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строительство обходов железнодорожных узлов, развитие станций и узлов;</w:t>
      </w:r>
    </w:p>
    <w:p w:rsidR="00C24564" w:rsidRPr="00C24564" w:rsidRDefault="00C24564" w:rsidP="00C245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оборудование участков системой автоблокировки.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перспективе 2010-2013 годов наиболее приоритетными инфраструктурными проектами, направленными на сокращение инфраструктурных ограничений являются:</w:t>
      </w:r>
    </w:p>
    <w:p w:rsidR="00C24564" w:rsidRPr="00C24564" w:rsidRDefault="00C24564" w:rsidP="00C245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комплексная реконструкция участка Мга-Гатчина-Веймарн-Ивангород и ж.д. подходов к портам на южном берегу Финского залива (с учетом строительства станции Лужская);</w:t>
      </w:r>
    </w:p>
    <w:p w:rsidR="00C24564" w:rsidRPr="00C24564" w:rsidRDefault="00C24564" w:rsidP="00C245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реконструкция участка Комсомольск-на-Амуре - Советская Гавань со строительством нового Кузнецовского тоннеля;</w:t>
      </w:r>
    </w:p>
    <w:p w:rsidR="00C24564" w:rsidRPr="00C24564" w:rsidRDefault="00C24564" w:rsidP="00C245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комплексная реконструкция участков Котельниково - Тихорецкая - Крымская с обходом Краснодарского узла и М.Горький – Котельниково.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Следует подчеркнуть, что в существующих условиях дефицита финансирования инвестиции в развитие Ж.Д. инфраструктуры в основном являются внебюджетными и формируются за счет доходов от перевозок грузов.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Другой важной задачей, способствующей устранению инфраструктурных барьеров в экономике является развитие перспективных транспортно-логистических технологий, способствующих повышению слаженности работы транспортного комплекса, сокращению технологических операций и увеличению скорости доставки грузов. Одной из таких технологий является выполнение перевозок различными видами транспорта по единому транспортному документу.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Доля таких перевозок в Российской Федерации в настоящее время крайне низкая, в то время как за рубежом, такие перевозки уже имеют сложившийся рынок и интенсивно развиваются.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Особенности географического положения России, масштаб ее территории диктуют необходимость комбинированного использования преимуществ каждого из видов транспорта для выполнения основной задачи – ЭФФЕКТИВНОЕ транспортное обеспечение потребностей экономики.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Расширение сети маршрутов прямого смешанного сообщения в значительной мере будет способствовать:</w:t>
      </w:r>
    </w:p>
    <w:p w:rsidR="00C24564" w:rsidRPr="00C24564" w:rsidRDefault="00C24564" w:rsidP="00C245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обеспечению доступности и повышению качества транспортных услуг;</w:t>
      </w:r>
    </w:p>
    <w:p w:rsidR="00C24564" w:rsidRPr="00C24564" w:rsidRDefault="00C24564" w:rsidP="00C245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росту подвижности населения;</w:t>
      </w:r>
    </w:p>
    <w:p w:rsidR="00C24564" w:rsidRPr="00C24564" w:rsidRDefault="00C24564" w:rsidP="00C245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снижение удельных транспортных издержек в цене конечной продукции;</w:t>
      </w:r>
    </w:p>
    <w:p w:rsidR="00C24564" w:rsidRPr="00C24564" w:rsidRDefault="00C24564" w:rsidP="00C245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увеличение скорости доставки товаров.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целях формирования правовой базы для развития прямых смешанных перевозок Министерство транспорта Российской Федерации осуществляет работу по подготовке проекта федерального закона «О прямых смешанных (комбинированных) перевозках».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Законопроектом регламентируются отношения между предприятиями различных видов транспорта по организации перевозок грузов и пассажиров по единому договору перевозки, а также регламентируются основные условия перевозки в прямом смешанном сообщении с оформлением единого транспортного документа, определяются единые принципы ответственности по данному договору.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Оформление единого транспортного документа в электронной форме позволит существенно повысить качество обслуживания пользователей услугами транспорта, сократить документооборот, оптимизировать время оформления перевозки за счет использования технологии обмена данными о перевозке в электронном виде. Такая система позволит обеспечить полный технологический цикл формирования документов сопутствующих перевозке на различных видах транспорта. Существенно сократит число вероятных ошибок при их оформлении, связанных с ручным вводом данных.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настоящее время подобная система электронной транспортной накладной внедрена при железнодорожных перевозках грузов и охватывает 100% внутренних перевозок.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Существующая нормативная правовая база позволяет организовывать смешанные перевозки силами экспедиторских организаций, когда компании экспедиторы выстраивают логистику движения грузов, вступая во взаимоотношения с перевозчиками различных видов транспорта в интересах владельца груза. Тем не менее, одним из серьезных препятствий для интенсивного развития транспортно-логистических технологий смешанных перевозок является отсутствие развитой инфраструктуры логистических центров, «стыкующих» различные виды транспорта.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Создание интегрированной транспортной системы, использующей преимущества каждого вида транспорта и повышающей пропускную способность системы в целом, а также строительство терминально–логистических комплексов позволят сформировать эффективную логистическую сеть, элементы которой будут интегрироваться в российскую и международную транспортные системы.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Особо подчеркну, что в условиях развития и модернизации транспортного комплекса большое значение приобретает своевременное реагирование системы профессионального транспортного образования на потребности отрасли в кадрах, способных на высоком уровне обслуживать и управлять сверхсовременными транспортными средствами, внедрять инновационные транспортные технологии. Сегодня транспортные образовательные учреждения, пусть с некоторыми проблемами, но справляются с данной задачей. Отмечу, что сейчас в транспортных ВУЗах при разработке основных образовательных программ учитываются потребности отрасли, вводятся новые предметы, курсы, специализации. Всё это подкрепляется соответствующей учебно-методической литературой и учебно-лабораторным оборудованием.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в заключении, еще раз хочу поприветствовать участников и гостей четвертого международного транспортного форума «Транспорт России», поблагодарить организаторов.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Проведение уже четвертого форума и возросший интерес к нашему мероприятию, в том числе со стороны иностранных специалистов, свидетельствует об успешной работе широкого круга специалистов в транспортной области. Очень важно, чтобы наши совместные усилия были направлены на дальнейшее развитие взаимовыгодного сотрудничества и формирование современной, эффективной транспортной политики.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Желаю всем участникам и гостям форума успешной работы.</w:t>
      </w:r>
    </w:p>
    <w:p w:rsidR="00C24564" w:rsidRPr="00C24564" w:rsidRDefault="00C24564" w:rsidP="00C24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Спасибо за внимание!</w:t>
      </w:r>
    </w:p>
    <w:p w:rsidR="00020D60" w:rsidRDefault="00020D60"/>
    <w:sectPr w:rsidR="00020D60" w:rsidSect="00020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1E9E"/>
    <w:multiLevelType w:val="multilevel"/>
    <w:tmpl w:val="7C0C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A27D5"/>
    <w:multiLevelType w:val="multilevel"/>
    <w:tmpl w:val="6C82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65513"/>
    <w:multiLevelType w:val="multilevel"/>
    <w:tmpl w:val="F946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280AD7"/>
    <w:multiLevelType w:val="multilevel"/>
    <w:tmpl w:val="FD4A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7334D8"/>
    <w:multiLevelType w:val="multilevel"/>
    <w:tmpl w:val="1C3C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CF5847"/>
    <w:multiLevelType w:val="multilevel"/>
    <w:tmpl w:val="DB98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C24564"/>
    <w:rsid w:val="00020D60"/>
    <w:rsid w:val="00C2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24564"/>
  </w:style>
  <w:style w:type="paragraph" w:styleId="a3">
    <w:name w:val="Normal (Web)"/>
    <w:basedOn w:val="a"/>
    <w:uiPriority w:val="99"/>
    <w:semiHidden/>
    <w:unhideWhenUsed/>
    <w:rsid w:val="00C2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45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intrans.ru/pressa/images/Foto_17112010_Forum/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3515</Words>
  <Characters>20041</Characters>
  <Application>Microsoft Office Word</Application>
  <DocSecurity>0</DocSecurity>
  <Lines>167</Lines>
  <Paragraphs>47</Paragraphs>
  <ScaleCrop>false</ScaleCrop>
  <Company/>
  <LinksUpToDate>false</LinksUpToDate>
  <CharactersWithSpaces>23509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2010-12-20T14:55:00Z</dcterms:created>
  <dcterms:modified xsi:type="dcterms:W3CDTF">2010-12-20T14:55:00Z</dcterms:modified>
</cp:coreProperties>
</file>