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4A" w:rsidRPr="00CD4E4A" w:rsidRDefault="00CD4E4A" w:rsidP="00CD4E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t>ВЫСТУПЛЕНИЕ РУКОВОДИТЕЛЯ РОСМОРРЕЧФЛОТА</w:t>
      </w:r>
      <w:r w:rsidRPr="00CD4E4A">
        <w:rPr>
          <w:rFonts w:ascii="Times New Roman" w:eastAsia="Times New Roman" w:hAnsi="Times New Roman" w:cs="Times New Roman"/>
          <w:caps/>
          <w:color w:val="000000"/>
          <w:sz w:val="20"/>
          <w:lang w:eastAsia="ru-RU"/>
        </w:rPr>
        <w:t> </w:t>
      </w:r>
      <w:r w:rsidRPr="00CD4E4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А.А. ДАВЫДЕНКО</w:t>
      </w:r>
      <w:r w:rsidRPr="00CD4E4A">
        <w:rPr>
          <w:rFonts w:ascii="Times New Roman" w:eastAsia="Times New Roman" w:hAnsi="Times New Roman" w:cs="Times New Roman"/>
          <w:caps/>
          <w:color w:val="000000"/>
          <w:sz w:val="20"/>
          <w:lang w:eastAsia="ru-RU"/>
        </w:rPr>
        <w:t> </w:t>
      </w:r>
      <w:r w:rsidRPr="00CD4E4A">
        <w:rPr>
          <w:rFonts w:ascii="Times New Roman" w:eastAsia="Times New Roman" w:hAnsi="Times New Roman" w:cs="Times New Roman"/>
          <w:caps/>
          <w:color w:val="000000"/>
          <w:sz w:val="20"/>
          <w:szCs w:val="20"/>
          <w:lang w:eastAsia="ru-RU"/>
        </w:rPr>
        <w:br/>
        <w:t>НА СОВЕЩАНИИ МОРСКОЙ КОЛЛЕГИИ ПРИ ПРАВИТЕЛЬСТВЕ РФ</w:t>
      </w:r>
    </w:p>
    <w:p w:rsidR="00CD4E4A" w:rsidRPr="00CD4E4A" w:rsidRDefault="00CD4E4A" w:rsidP="00CD4E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b/>
          <w:bCs/>
          <w:caps/>
          <w:color w:val="000080"/>
          <w:sz w:val="20"/>
          <w:szCs w:val="20"/>
          <w:lang w:eastAsia="ru-RU"/>
        </w:rPr>
        <w:t>«О ХОДЕ РЕФОРМИРОВАНИЯ СИСТЕМЫ УПРАВЛЕНИЯ ВНУТРЕННИМИ ВОДНЫМИ ПУТЯМИ РОССИЙСКОЙ ФЕДЕРАЦИИ И РАЗВИТИИ ВНУТРЕННИХ ПАССАЖИРСКИХ ПЕРЕВОЗОК»</w:t>
      </w:r>
    </w:p>
    <w:p w:rsidR="00CD4E4A" w:rsidRPr="00CD4E4A" w:rsidRDefault="00CD4E4A" w:rsidP="00CD4E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Воронеж, 8 июля 2010 г.</w:t>
      </w:r>
    </w:p>
    <w:p w:rsidR="00CD4E4A" w:rsidRPr="00CD4E4A" w:rsidRDefault="00CD4E4A" w:rsidP="00CD4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CD4E4A" w:rsidRPr="00CD4E4A" w:rsidRDefault="00CD4E4A" w:rsidP="00CD4E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Уважаемый Сергей Борисович!</w:t>
      </w:r>
    </w:p>
    <w:p w:rsidR="00CD4E4A" w:rsidRPr="00CD4E4A" w:rsidRDefault="00CD4E4A" w:rsidP="00CD4E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Уважаемые члены Морской коллегии!</w:t>
      </w:r>
    </w:p>
    <w:p w:rsidR="00CD4E4A" w:rsidRPr="00CD4E4A" w:rsidRDefault="00CD4E4A" w:rsidP="00CD4E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Уважаемые участники заседания!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Напомню, что как сложившаяся система структура управления ВВП функционировала с середины 30-х годов прошлого столетия. Обслуживание внутренних водных путей осуществлялось бассейновыми управлениями пути и управлениями каналов. Функции контроля и надзора за обеспечением безопасности судоходства выполняло управление Главного ревизора, переименованное в 1988 году в Главную инспекцию по безопасности судоходства Минречфлота РСФСР.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Перевозки грузов и пассажиров осуществлялась пароходствами. В состав пароходств входили речные порты. При этом пароходства, как и путейские организации и инспекция были подчинены Министерству речного флота РСФСР. Таким образом обеспечивалось тесное взаимодействие и управление всех элементов системы внутреннего водного транспорта.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Затем с 90-х годов прошлого столетия было проведено несколько этапов реорганизации с акционированием речных пароходств и портов. Были созданы 15 государственных бассейновых управлений водных путей и судоходства в форме федеральных государственных учреждений, а в Московском бассейне – федеральное государственное учреждение «Речная администрация Московского бассейна» и федеральное государственное унитарное предприятие «Канал имени Москвы».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Государственная речная судоходная инспекция была ликвидирована, а её функции переданы созданной Федеральной службе по надзору в сфере транспорта.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процессе преобразований речные порты как бы «выпали» из единой цепочки инфраструктуры внутреннего водного транспорта. Имеется в виду федеральная собственность в виде причальных сооружений и других объектов (которые остались в казне). Также осталась нерешенной проблема организации судоходства на реках и озерах, не вошедших в перечень внутренних водный путей РФ (утвержденный распоряжение Правительства РФ от 19.12.2002 г. №1800-р).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целях восстановления целостности инфраструктуры речного транспорта была разработана Концепция реформирования системы управления ВВП РФ.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Указанная Концепция была одобрена на заседании Морской коллегии в апреле 2009 года, принята на заседании Правительства Российской Федерации 11 июня и утверждена приказом Минтранса России №112 от 09 июля того же года. Концепцией предусматривалось два этапа проведения реформирования. Минтрансом был разработан План мероприятий первого этапа по реализации Концепции реформирования системы управления ВВП РФ (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утвержден поручением Правительства РФ от 08.10.2009 № СИ-П9-5764</w:t>
      </w: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Выбор организационно-правовой модели, принятой в Концепции, был основан на положениях действующего законодательства, которое ограничивало ведение хозяйственной и предпринимательской деятельности федеральными государственными учреждениями.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Было предложено создать ФГУП «Росводпуть» наделив его государственной задачей по содержанию внутренних водных путей с передачей технического флота и части производственных мощностей, а также причальных гидротехнических сооружений в речных портах. Судоходные гидротехнические сооружения </w:t>
      </w: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планировалось оставить в оперативном управлении ФГУ ГБУ, усилив в них административно-властные полномочия и сохранив систему финансирования из федерального бюджета. При этом предполагалось, что ФГУП будет осуществлять хозяйственно-предпринимательскую деятельность и привлекать внебюджетные средства.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декабре 2009 года Правительством РФ был внесен в Государственную Думу проект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который был введен в действие 8 мая 2010 г. (за N 83-ФЗ). Он существенно изменил правовое положение бюджетных учреждений.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Необходимо отметить следующие его положения:</w:t>
      </w:r>
    </w:p>
    <w:p w:rsidR="00CD4E4A" w:rsidRPr="00CD4E4A" w:rsidRDefault="00CD4E4A" w:rsidP="00CD4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переход от целевого финансирования на субсидирование для выполнения государственного задания, с учетом расходов на содержание необходимого для этого имущества;</w:t>
      </w:r>
    </w:p>
    <w:p w:rsidR="00CD4E4A" w:rsidRPr="00CD4E4A" w:rsidRDefault="00CD4E4A" w:rsidP="00CD4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расширение права бюджетных учреждений по распоряжению любым закрепленным за учреждением движимым имуществом, за исключением особо ценного движимого имущества, перечень которого устанавливает учредитель;</w:t>
      </w:r>
    </w:p>
    <w:p w:rsidR="00CD4E4A" w:rsidRPr="00CD4E4A" w:rsidRDefault="00CD4E4A" w:rsidP="00CD4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самостоятельное распоряжение доходами, полученными от сдачи имущества в аренду;</w:t>
      </w:r>
    </w:p>
    <w:p w:rsidR="00CD4E4A" w:rsidRPr="00CD4E4A" w:rsidRDefault="00CD4E4A" w:rsidP="00CD4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предоставление права бюджетным учреждениям заниматься приносящей доходы деятельностью с поступлением доходов в самостоятельное распоряжение этих учреждений.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целом положения закона позволяют государственным бассейновым управлениям водных путей и судоходства, заниматься хозяйственной деятельностью, более эффективно использовать федеральное имущество. То есть отпала необходимость создания ФГУП и разделения административно-властных полномочий и хозяйственных функций.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Это существенно меняет ситуацию.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Во-первых, необходимо внести коррективы в Концепцию реформирования системы управления ВВП РФ и уточнить положения Плана мероприятий первого этапа по ее реализации. Работа по уточнению статуса ГБУ как бюджетных учреждений ведется Минтрансом совместно с Росморречфлотом по согласованию с Минэкономразвития и Минфином. Во-вторых, после внесения корректировок требуется дополнительное согласование с причастными ведомствами всех разделов Плана мероприятий первого этапа и Концепции в целом. Эту работу – корректировку и согласование с заинтересованными ведомствами – планируется завершить в 2010 году.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Ежегодно за навигацию по внутренним водным путям РФ перевозится порядка 18 – 20 млн. человек. Доля внутреннего водного транспорта в общем объеме перевозок пассажиров в стране, в общем-то, не велика и составляет около 0,1%. Но при этом необходимо отметить, что речной транспорт является жизнеобеспечивающим и безальтернативным в ряде регионов Российской Федерации: на Севере, в Сибири и на Дальнем Востоке.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Речные пассажирские перевозки можно условно разделить на два сегмента:</w:t>
      </w:r>
    </w:p>
    <w:p w:rsidR="00CD4E4A" w:rsidRPr="00CD4E4A" w:rsidRDefault="00CD4E4A" w:rsidP="00CD4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Первый – перевозки по региональным транспортным маршрутам – транзитные, местные, пригородные, и внутригородские. Эти перевозки, как правило, являются убыточными, но как социально-значимые субсидируются из региональных бюджетов.</w:t>
      </w:r>
    </w:p>
    <w:p w:rsidR="00CD4E4A" w:rsidRPr="00CD4E4A" w:rsidRDefault="00CD4E4A" w:rsidP="00CD4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Второй – туристские и экскурсионно-прогулочные перевозки, которые являются рентабельными и представляют собой достаточно стабильный сегмент рынка.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долю региональных транспортных маршрутов приходится 88% от общего объема перевозок, на экскурсионные и прогулочные – 10%, на туристские – 2%. При этом пассажирооборот на туристских маршрутах составляет более 40% общего пассажирооборота в связи с большей дальностью перевозок, в среднем – около 1000 км /чел. Перевозки туристов на речных теплоходах позволяют увеличивать поступление финансовых средств в бюджеты различных уровней, способствуют занятости населения и в целом имеют мультипликативный эффект.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настоящее время на внутренних водных путях Российской Федерации эксплуатируется 1100 пассажирских судов, которые делятся на 3 основные группы:</w:t>
      </w:r>
    </w:p>
    <w:p w:rsidR="00CD4E4A" w:rsidRPr="00CD4E4A" w:rsidRDefault="00CD4E4A" w:rsidP="00CD4E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Крупные водоизмещающие суда для длительных поездок и туристических путешествий (зарубежной постройки);</w:t>
      </w:r>
    </w:p>
    <w:p w:rsidR="00CD4E4A" w:rsidRPr="00CD4E4A" w:rsidRDefault="00CD4E4A" w:rsidP="00CD4E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Малые водоизмещающие суда, обслуживающие местные, пригородные, внутригородские, экскурсионно-прогулочные линии и переправы (отечественной постройки);</w:t>
      </w:r>
    </w:p>
    <w:p w:rsidR="00CD4E4A" w:rsidRPr="00CD4E4A" w:rsidRDefault="00CD4E4A" w:rsidP="00CD4E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Скоростные суда (отечественной постройки)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ru-RU"/>
        </w:rPr>
        <w:t>Справочно: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D4E4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>К судам 1-й группы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 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обслуживающим транспортные, транзитные и туристские маршруты, относятся:</w:t>
      </w:r>
    </w:p>
    <w:p w:rsidR="00CD4E4A" w:rsidRPr="00CD4E4A" w:rsidRDefault="00CD4E4A" w:rsidP="00CD4E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ru-RU"/>
        </w:rPr>
        <w:t>Четырехпалубные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 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 проекты 302 и 301 немецкой постройки,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 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Q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-040 и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 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Q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-056 австрийской постройки, 92016 чехословацкой постройки – суда повышенной комфортабельности, показателями которой является наличие в каютах индивидуальных санблоков (душ, туалет, умывальник), систем кондиционирования воздуха в каютах и помещениях общего пользования, киноконцертных залов, ресторанов, дневных и ночных баров, библиотек, музыкальных и художественных салонов, магазинов сувениров, парикмахерских.</w:t>
      </w:r>
    </w:p>
    <w:p w:rsidR="00CD4E4A" w:rsidRPr="00CD4E4A" w:rsidRDefault="00CD4E4A" w:rsidP="00CD4E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ru-RU"/>
        </w:rPr>
        <w:t>Трехпалубные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 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– проекты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 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Q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-065 австрийской постройки (повышенной комфортабельности), 588 немецкой постройки, 2637 чехословацкой постройки. Основными недостатками судов двух последних проектов в базовом варианте являются отсутствие индивидуальных санблоков в каютах, кроме двух кают Люкс, и системы кондиционирования воздуха.</w:t>
      </w:r>
    </w:p>
    <w:p w:rsidR="00CD4E4A" w:rsidRPr="00CD4E4A" w:rsidRDefault="00CD4E4A" w:rsidP="00CD4E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ru-RU"/>
        </w:rPr>
        <w:t>Двухпалубные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 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– проекты 305, 860, 373 венгерской постройки, 646 немецкой постройки с невысокой комфортабельностью в базовом варианте.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>Ко 2-й группе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 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относятся суда проектов 780 («ОМ»), 839 («МО»), 544 («Москвич»), 792 («ПС»), 81080 («Московский»), Р-51 («Москва»), Р-35 («Нева»), Р-118 («Фонтанка»), 603 («СП»).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ru-RU"/>
        </w:rPr>
        <w:t>К 3-й группе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lang w:eastAsia="ru-RU"/>
        </w:rPr>
        <w:t> 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судов относятся скоростные суда:</w:t>
      </w:r>
    </w:p>
    <w:p w:rsidR="00CD4E4A" w:rsidRPr="00CD4E4A" w:rsidRDefault="00CD4E4A" w:rsidP="00CD4E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Symbol" w:cs="Times New Roman"/>
          <w:i/>
          <w:iCs/>
          <w:color w:val="000000"/>
          <w:sz w:val="20"/>
          <w:szCs w:val="20"/>
          <w:lang w:eastAsia="ru-RU"/>
        </w:rPr>
        <w:t>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На подводных крыльях – проекты 340, 340-МЭ («Ракета»), 342, 342Э («Метеор»), 342МТ, 342МЭ («Комета»), 352 («Восход»), 17091 («Полесье»);</w:t>
      </w:r>
    </w:p>
    <w:p w:rsidR="00CD4E4A" w:rsidRPr="00CD4E4A" w:rsidRDefault="00CD4E4A" w:rsidP="00CD4E4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Symbol" w:cs="Times New Roman"/>
          <w:i/>
          <w:iCs/>
          <w:color w:val="000000"/>
          <w:sz w:val="20"/>
          <w:szCs w:val="20"/>
          <w:lang w:eastAsia="ru-RU"/>
        </w:rPr>
        <w:t>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На воздушной подушке – проекты 1435 («Зарница»), 14351 («Луч»), 19591 («Баргузин»), АКС 2000 («Марс») и другие.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сожалению, пассажирский флот морально и физически устарел и в ближайшие годы подлежит массовому списанию. Подпрограммой «Внутренний водный транспорт» федеральной целевой программы «Развитие транспортной системы России (2010-2015 годы)» предусмотрено строительство 5 пассажирских судов пассажировместимостью 212 человек проекта «Золотое кольцо» с общим объемом финансирования 33 млрд. рублей из внебюджетных источников. Отечественные судостроительные предприятия готовы строить новый пассажирский флот. И такие факты есть. Пополнение новыми судами осуществляется в регионах, органы исполнительной власти которых, понимая социальную значимость речных пассажирских перевозок, приобретают теплоходы за счет собственных средств: Красноярский край, Ханты-Мансийский автономный округ, Татарстан и другие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Флот для местных социально-значимых маршрутов постепенно обновляется. Хуже обстоит дело с заменой туристического круизного флота. Решение проблемы может лежать в сфере лизинга. Но при этом необходимо учитывать сезонность работы речного транспорта, что существенно увеличивает срок окупаемости любого проекта.</w:t>
      </w:r>
    </w:p>
    <w:p w:rsidR="00CD4E4A" w:rsidRPr="00CD4E4A" w:rsidRDefault="00CD4E4A" w:rsidP="00CD4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целях развития внутренних пассажирских перевозок необходимо на региональном уровне усилить работу по развитию местных социально-значимых маршрутов, поддерживая их в основном субсидиями, а на федеральном – рассмотреть вопросы организации туристического круизного судоходства. В обоих случаях необходимо уделить особое внимание обновлению флота. Для этого судоходным компаниям, осуществляющим туристские круизные перевозки</w:t>
      </w:r>
      <w:r w:rsidRPr="00CD4E4A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CD4E4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(Московское речное пароходство, Волжское пароходство и др.</w:t>
      </w: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и регулярные маршруты, требуется государственная поддержка в виде льготных кредитов на строительство флота на российских верфях, субсидирования процентной банковской ставки, облегчения налоговой нагрузки в виде «налоговых каникул», распространения действия Российского международного реестра судов и закона «О мерах по поддержке российского судостроения и судоходства» на речные суда. Такие меры позволят вывести речные пассажирские, круизные и маршрутные перевозки из кризиса, </w:t>
      </w:r>
      <w:r w:rsidRPr="00CD4E4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провести обновление флота, повысить безопасность судоходства, обеспечить потребности населения и экономики страны.</w:t>
      </w:r>
    </w:p>
    <w:p w:rsidR="002A4B78" w:rsidRDefault="002A4B78"/>
    <w:sectPr w:rsidR="002A4B78" w:rsidSect="002A4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01B"/>
    <w:multiLevelType w:val="multilevel"/>
    <w:tmpl w:val="3F9A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E22C2"/>
    <w:multiLevelType w:val="multilevel"/>
    <w:tmpl w:val="667E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0E663C"/>
    <w:multiLevelType w:val="multilevel"/>
    <w:tmpl w:val="9C78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A6C1E"/>
    <w:multiLevelType w:val="multilevel"/>
    <w:tmpl w:val="36E2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CD4E4A"/>
    <w:rsid w:val="002A4B78"/>
    <w:rsid w:val="00CD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D4E4A"/>
  </w:style>
  <w:style w:type="paragraph" w:styleId="a3">
    <w:name w:val="Normal (Web)"/>
    <w:basedOn w:val="a"/>
    <w:uiPriority w:val="99"/>
    <w:semiHidden/>
    <w:unhideWhenUsed/>
    <w:rsid w:val="00CD4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4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1651</Words>
  <Characters>9413</Characters>
  <Application>Microsoft Office Word</Application>
  <DocSecurity>0</DocSecurity>
  <Lines>78</Lines>
  <Paragraphs>22</Paragraphs>
  <ScaleCrop>false</ScaleCrop>
  <Company/>
  <LinksUpToDate>false</LinksUpToDate>
  <CharactersWithSpaces>11042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2010-12-14T16:02:00Z</dcterms:created>
  <dcterms:modified xsi:type="dcterms:W3CDTF">2010-12-14T16:02:00Z</dcterms:modified>
</cp:coreProperties>
</file>