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952365" cy="1141095"/>
            <wp:effectExtent l="19050" t="0" r="635" b="0"/>
            <wp:docPr id="1" name="Рисунок 1" descr="http://mintrans.ru/images/Zna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ntrans.ru/images/Znak2.jpg"/>
                    <pic:cNvPicPr>
                      <a:picLocks noChangeAspect="1" noChangeArrowheads="1"/>
                    </pic:cNvPicPr>
                  </pic:nvPicPr>
                  <pic:blipFill>
                    <a:blip r:embed="rId4"/>
                    <a:srcRect/>
                    <a:stretch>
                      <a:fillRect/>
                    </a:stretch>
                  </pic:blipFill>
                  <pic:spPr bwMode="auto">
                    <a:xfrm>
                      <a:off x="0" y="0"/>
                      <a:ext cx="4952365" cy="1141095"/>
                    </a:xfrm>
                    <a:prstGeom prst="rect">
                      <a:avLst/>
                    </a:prstGeom>
                    <a:noFill/>
                    <a:ln w="9525">
                      <a:noFill/>
                      <a:miter lim="800000"/>
                      <a:headEnd/>
                      <a:tailEnd/>
                    </a:ln>
                  </pic:spPr>
                </pic:pic>
              </a:graphicData>
            </a:graphic>
          </wp:inline>
        </w:drawing>
      </w:r>
    </w:p>
    <w:p w:rsidR="00A618EF" w:rsidRPr="00A618EF" w:rsidRDefault="00A618EF" w:rsidP="00A618E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A618EF">
        <w:rPr>
          <w:rFonts w:ascii="Times New Roman" w:eastAsia="Times New Roman" w:hAnsi="Times New Roman" w:cs="Times New Roman"/>
          <w:b/>
          <w:bCs/>
          <w:color w:val="000000"/>
          <w:sz w:val="24"/>
          <w:szCs w:val="24"/>
          <w:lang w:eastAsia="ru-RU"/>
        </w:rPr>
        <w:t>Состояние отдельных видов транспорта</w:t>
      </w:r>
    </w:p>
    <w:p w:rsidR="00A618EF" w:rsidRPr="00A618EF" w:rsidRDefault="00A618EF" w:rsidP="00A618E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A618EF">
        <w:rPr>
          <w:rFonts w:ascii="Times New Roman" w:eastAsia="Times New Roman" w:hAnsi="Times New Roman" w:cs="Times New Roman"/>
          <w:b/>
          <w:bCs/>
          <w:color w:val="000000"/>
          <w:sz w:val="20"/>
          <w:szCs w:val="20"/>
          <w:lang w:eastAsia="ru-RU"/>
        </w:rPr>
        <w:t>Промышленный транспорт</w:t>
      </w:r>
    </w:p>
    <w:p w:rsidR="00A618EF" w:rsidRPr="00A618EF" w:rsidRDefault="00A618EF" w:rsidP="00A618E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618EF">
        <w:rPr>
          <w:rFonts w:ascii="Times New Roman" w:eastAsia="Times New Roman" w:hAnsi="Times New Roman" w:cs="Times New Roman"/>
          <w:color w:val="000000"/>
          <w:sz w:val="20"/>
          <w:szCs w:val="20"/>
          <w:lang w:eastAsia="ru-RU"/>
        </w:rPr>
        <w:t>К промышленному транспорту относится комплекс сооружений и технических сре</w:t>
      </w:r>
      <w:proofErr w:type="gramStart"/>
      <w:r w:rsidRPr="00A618EF">
        <w:rPr>
          <w:rFonts w:ascii="Times New Roman" w:eastAsia="Times New Roman" w:hAnsi="Times New Roman" w:cs="Times New Roman"/>
          <w:color w:val="000000"/>
          <w:sz w:val="20"/>
          <w:szCs w:val="20"/>
          <w:lang w:eastAsia="ru-RU"/>
        </w:rPr>
        <w:t>дств тр</w:t>
      </w:r>
      <w:proofErr w:type="gramEnd"/>
      <w:r w:rsidRPr="00A618EF">
        <w:rPr>
          <w:rFonts w:ascii="Times New Roman" w:eastAsia="Times New Roman" w:hAnsi="Times New Roman" w:cs="Times New Roman"/>
          <w:color w:val="000000"/>
          <w:sz w:val="20"/>
          <w:szCs w:val="20"/>
          <w:lang w:eastAsia="ru-RU"/>
        </w:rPr>
        <w:t>анспорта, обеспечивающих в нетранспортных организациях внутренние и внешние перевозки грузов, а также погрузочно-разгрузочные операции. Комплекс промышленного транспорта включает около 13 тысяч организаций. В нем используется 62 тыс. км</w:t>
      </w:r>
      <w:proofErr w:type="gramStart"/>
      <w:r w:rsidRPr="00A618EF">
        <w:rPr>
          <w:rFonts w:ascii="Times New Roman" w:eastAsia="Times New Roman" w:hAnsi="Times New Roman" w:cs="Times New Roman"/>
          <w:color w:val="000000"/>
          <w:sz w:val="20"/>
          <w:szCs w:val="20"/>
          <w:lang w:eastAsia="ru-RU"/>
        </w:rPr>
        <w:t>.</w:t>
      </w:r>
      <w:proofErr w:type="gramEnd"/>
      <w:r w:rsidRPr="00A618EF">
        <w:rPr>
          <w:rFonts w:ascii="Times New Roman" w:eastAsia="Times New Roman" w:hAnsi="Times New Roman" w:cs="Times New Roman"/>
          <w:color w:val="000000"/>
          <w:sz w:val="20"/>
          <w:szCs w:val="20"/>
          <w:lang w:eastAsia="ru-RU"/>
        </w:rPr>
        <w:t xml:space="preserve"> </w:t>
      </w:r>
      <w:proofErr w:type="gramStart"/>
      <w:r w:rsidRPr="00A618EF">
        <w:rPr>
          <w:rFonts w:ascii="Times New Roman" w:eastAsia="Times New Roman" w:hAnsi="Times New Roman" w:cs="Times New Roman"/>
          <w:color w:val="000000"/>
          <w:sz w:val="20"/>
          <w:szCs w:val="20"/>
          <w:lang w:eastAsia="ru-RU"/>
        </w:rPr>
        <w:t>ж</w:t>
      </w:r>
      <w:proofErr w:type="gramEnd"/>
      <w:r w:rsidRPr="00A618EF">
        <w:rPr>
          <w:rFonts w:ascii="Times New Roman" w:eastAsia="Times New Roman" w:hAnsi="Times New Roman" w:cs="Times New Roman"/>
          <w:color w:val="000000"/>
          <w:sz w:val="20"/>
          <w:szCs w:val="20"/>
          <w:lang w:eastAsia="ru-RU"/>
        </w:rPr>
        <w:t xml:space="preserve">елезнодорожных путей широкой и свыше 15 тыс.км. узкой колеи, свыше 13 тысяч электровозов и тепловозов, более 180 тыс. грузовых вагонов, 250 </w:t>
      </w:r>
      <w:proofErr w:type="spellStart"/>
      <w:r w:rsidRPr="00A618EF">
        <w:rPr>
          <w:rFonts w:ascii="Times New Roman" w:eastAsia="Times New Roman" w:hAnsi="Times New Roman" w:cs="Times New Roman"/>
          <w:color w:val="000000"/>
          <w:sz w:val="20"/>
          <w:szCs w:val="20"/>
          <w:lang w:eastAsia="ru-RU"/>
        </w:rPr>
        <w:t>вагоноопрокидывателей</w:t>
      </w:r>
      <w:proofErr w:type="spellEnd"/>
      <w:r w:rsidRPr="00A618EF">
        <w:rPr>
          <w:rFonts w:ascii="Times New Roman" w:eastAsia="Times New Roman" w:hAnsi="Times New Roman" w:cs="Times New Roman"/>
          <w:color w:val="000000"/>
          <w:sz w:val="20"/>
          <w:szCs w:val="20"/>
          <w:lang w:eastAsia="ru-RU"/>
        </w:rPr>
        <w:t>, около 90 тысяч грузоподъемных кранов различных типов, свыше 125 тысяч автомобилей различных типов, в том числе около 15 тысяч грузоподъемностью свыше 20т, более 10 тысяч установок конвейерного, трубопроводного, подвесного транспорта.</w:t>
      </w:r>
    </w:p>
    <w:p w:rsidR="00A618EF" w:rsidRPr="00A618EF" w:rsidRDefault="00A618EF" w:rsidP="00A618E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618EF">
        <w:rPr>
          <w:rFonts w:ascii="Times New Roman" w:eastAsia="Times New Roman" w:hAnsi="Times New Roman" w:cs="Times New Roman"/>
          <w:color w:val="000000"/>
          <w:sz w:val="20"/>
          <w:szCs w:val="20"/>
          <w:lang w:eastAsia="ru-RU"/>
        </w:rPr>
        <w:t>Наряду с выполнением технологических внутризаводских перевозок, важнейшей функцией промышленного транспорта является обеспечение связи промышленности с магистральными транспортными коммуникациями.</w:t>
      </w:r>
    </w:p>
    <w:p w:rsidR="00A618EF" w:rsidRPr="00A618EF" w:rsidRDefault="00A618EF" w:rsidP="00A618EF">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A618EF">
        <w:rPr>
          <w:rFonts w:ascii="Times New Roman" w:eastAsia="Times New Roman" w:hAnsi="Times New Roman" w:cs="Times New Roman"/>
          <w:color w:val="000000"/>
          <w:sz w:val="20"/>
          <w:szCs w:val="20"/>
          <w:lang w:eastAsia="ru-RU"/>
        </w:rPr>
        <w:t>Таблица 9.</w:t>
      </w:r>
    </w:p>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A618EF">
        <w:rPr>
          <w:rFonts w:ascii="Times New Roman" w:eastAsia="Times New Roman" w:hAnsi="Times New Roman" w:cs="Times New Roman"/>
          <w:b/>
          <w:bCs/>
          <w:color w:val="000000"/>
          <w:sz w:val="20"/>
          <w:szCs w:val="20"/>
          <w:lang w:eastAsia="ru-RU"/>
        </w:rPr>
        <w:t>Основные показатели работы промышленного железнодорожного транспорта в 1994-2002 годах</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4A0"/>
      </w:tblPr>
      <w:tblGrid>
        <w:gridCol w:w="1831"/>
        <w:gridCol w:w="871"/>
        <w:gridCol w:w="871"/>
        <w:gridCol w:w="871"/>
        <w:gridCol w:w="872"/>
        <w:gridCol w:w="872"/>
        <w:gridCol w:w="872"/>
        <w:gridCol w:w="872"/>
        <w:gridCol w:w="872"/>
        <w:gridCol w:w="879"/>
      </w:tblGrid>
      <w:tr w:rsidR="00A618EF" w:rsidRPr="00A618EF" w:rsidTr="00A618EF">
        <w:trPr>
          <w:tblCellSpacing w:w="7" w:type="dxa"/>
        </w:trPr>
        <w:tc>
          <w:tcPr>
            <w:tcW w:w="9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after="0" w:line="240" w:lineRule="auto"/>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 </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1994</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1995</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1996</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1997</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1998</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1999</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2000</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2001</w:t>
            </w:r>
          </w:p>
        </w:tc>
        <w:tc>
          <w:tcPr>
            <w:tcW w:w="4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b/>
                <w:bCs/>
                <w:sz w:val="15"/>
                <w:szCs w:val="15"/>
                <w:lang w:eastAsia="ru-RU"/>
              </w:rPr>
              <w:t>2002</w:t>
            </w:r>
          </w:p>
        </w:tc>
      </w:tr>
      <w:tr w:rsidR="00A618EF" w:rsidRPr="00A618EF" w:rsidTr="00A618EF">
        <w:trPr>
          <w:tblCellSpacing w:w="7" w:type="dxa"/>
        </w:trPr>
        <w:tc>
          <w:tcPr>
            <w:tcW w:w="9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Перевозки грузов, млн</w:t>
            </w:r>
            <w:proofErr w:type="gramStart"/>
            <w:r w:rsidRPr="00A618EF">
              <w:rPr>
                <w:rFonts w:ascii="Times New Roman" w:eastAsia="Times New Roman" w:hAnsi="Times New Roman" w:cs="Times New Roman"/>
                <w:sz w:val="15"/>
                <w:szCs w:val="15"/>
                <w:lang w:eastAsia="ru-RU"/>
              </w:rPr>
              <w:t>.т</w:t>
            </w:r>
            <w:proofErr w:type="gramEnd"/>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3247,1</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3248,4</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2807,3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2807,3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2588,3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2904,2</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3184,3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3229,3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3311,1</w:t>
            </w:r>
          </w:p>
        </w:tc>
      </w:tr>
      <w:tr w:rsidR="00A618EF" w:rsidRPr="00A618EF" w:rsidTr="00A618EF">
        <w:trPr>
          <w:tblCellSpacing w:w="7" w:type="dxa"/>
        </w:trPr>
        <w:tc>
          <w:tcPr>
            <w:tcW w:w="950" w:type="pct"/>
            <w:tcBorders>
              <w:top w:val="outset" w:sz="6" w:space="0" w:color="auto"/>
              <w:left w:val="outset" w:sz="6" w:space="0" w:color="auto"/>
              <w:bottom w:val="outset" w:sz="6" w:space="0" w:color="auto"/>
              <w:right w:val="outset" w:sz="6" w:space="0" w:color="auto"/>
            </w:tcBorders>
            <w:shd w:val="clear" w:color="auto" w:fill="ECECEC"/>
            <w:hideMark/>
          </w:tcPr>
          <w:p w:rsidR="00A618EF" w:rsidRPr="00A618EF" w:rsidRDefault="00A618EF" w:rsidP="00A618EF">
            <w:pPr>
              <w:spacing w:before="100" w:beforeAutospacing="1" w:after="100" w:afterAutospacing="1" w:line="240" w:lineRule="auto"/>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 xml:space="preserve">Грузооборот, млрд. </w:t>
            </w:r>
            <w:proofErr w:type="spellStart"/>
            <w:r w:rsidRPr="00A618EF">
              <w:rPr>
                <w:rFonts w:ascii="Times New Roman" w:eastAsia="Times New Roman" w:hAnsi="Times New Roman" w:cs="Times New Roman"/>
                <w:sz w:val="15"/>
                <w:szCs w:val="15"/>
                <w:lang w:eastAsia="ru-RU"/>
              </w:rPr>
              <w:t>ткм</w:t>
            </w:r>
            <w:proofErr w:type="spellEnd"/>
            <w:r w:rsidRPr="00A618EF">
              <w:rPr>
                <w:rFonts w:ascii="Times New Roman" w:eastAsia="Times New Roman" w:hAnsi="Times New Roman" w:cs="Times New Roman"/>
                <w:sz w:val="15"/>
                <w:szCs w:val="15"/>
                <w:lang w:eastAsia="ru-RU"/>
              </w:rPr>
              <w:t>.</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28,6</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26,9</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23,3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23,3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21,8</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25,3</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24,9</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26,0</w:t>
            </w:r>
          </w:p>
        </w:tc>
        <w:tc>
          <w:tcPr>
            <w:tcW w:w="450" w:type="pct"/>
            <w:tcBorders>
              <w:top w:val="outset" w:sz="6" w:space="0" w:color="auto"/>
              <w:left w:val="outset" w:sz="6" w:space="0" w:color="auto"/>
              <w:bottom w:val="outset" w:sz="6" w:space="0" w:color="auto"/>
              <w:right w:val="outset" w:sz="6" w:space="0" w:color="auto"/>
            </w:tcBorders>
            <w:vAlign w:val="center"/>
            <w:hideMark/>
          </w:tcPr>
          <w:p w:rsidR="00A618EF" w:rsidRPr="00A618EF" w:rsidRDefault="00A618EF" w:rsidP="00A61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8EF">
              <w:rPr>
                <w:rFonts w:ascii="Times New Roman" w:eastAsia="Times New Roman" w:hAnsi="Times New Roman" w:cs="Times New Roman"/>
                <w:sz w:val="15"/>
                <w:szCs w:val="15"/>
                <w:lang w:eastAsia="ru-RU"/>
              </w:rPr>
              <w:t>27,3</w:t>
            </w:r>
          </w:p>
        </w:tc>
      </w:tr>
    </w:tbl>
    <w:p w:rsidR="00A618EF" w:rsidRPr="00A618EF" w:rsidRDefault="00A618EF" w:rsidP="00A618E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618EF">
        <w:rPr>
          <w:rFonts w:ascii="Times New Roman" w:eastAsia="Times New Roman" w:hAnsi="Times New Roman" w:cs="Times New Roman"/>
          <w:color w:val="000000"/>
          <w:sz w:val="20"/>
          <w:szCs w:val="20"/>
          <w:lang w:eastAsia="ru-RU"/>
        </w:rPr>
        <w:t>В условиях рынка около 500 организаций промышленного транспорта вышли из состава основных производств и стали самостоятельными структурами, выполняющими для обслуживаемых предприятий подачу и уборку вагонов, формирование, расформирование и сортировку вагонов, технологические перевозки, погрузочно-разгрузочные и складские операции, а также транспортно-экспедиторские и другие услуги. Значительный объем транспортных и сопутствующих услуг предоставляется также другим субъектам рынка.</w:t>
      </w:r>
    </w:p>
    <w:p w:rsidR="00A618EF" w:rsidRPr="00A618EF" w:rsidRDefault="00A618EF" w:rsidP="00A618E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618EF">
        <w:rPr>
          <w:rFonts w:ascii="Times New Roman" w:eastAsia="Times New Roman" w:hAnsi="Times New Roman" w:cs="Times New Roman"/>
          <w:color w:val="000000"/>
          <w:sz w:val="20"/>
          <w:szCs w:val="20"/>
          <w:lang w:eastAsia="ru-RU"/>
        </w:rPr>
        <w:t>В ходе структурной реформы железнодорожного транспорта на базе предприятий промышленного железнодорожного транспорта создаются вагонные операторские компании. По мере развития рыночных отношений на железнодорожном транспорте операторские компании будут принимать на себя функции независимых железнодорожных перевозчиков.</w:t>
      </w:r>
    </w:p>
    <w:p w:rsidR="00A618EF" w:rsidRPr="00A618EF" w:rsidRDefault="00A618EF" w:rsidP="00A618E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618EF">
        <w:rPr>
          <w:rFonts w:ascii="Times New Roman" w:eastAsia="Times New Roman" w:hAnsi="Times New Roman" w:cs="Times New Roman"/>
          <w:color w:val="000000"/>
          <w:sz w:val="27"/>
          <w:szCs w:val="27"/>
          <w:lang w:eastAsia="ru-RU"/>
        </w:rPr>
        <w:t> </w:t>
      </w:r>
    </w:p>
    <w:p w:rsidR="00E00A17" w:rsidRDefault="00E00A17"/>
    <w:sectPr w:rsidR="00E00A17" w:rsidSect="00E00A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618EF"/>
    <w:rsid w:val="00A618EF"/>
    <w:rsid w:val="00E00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A17"/>
  </w:style>
  <w:style w:type="paragraph" w:styleId="3">
    <w:name w:val="heading 3"/>
    <w:basedOn w:val="a"/>
    <w:link w:val="30"/>
    <w:uiPriority w:val="9"/>
    <w:qFormat/>
    <w:rsid w:val="00A618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18E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618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18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7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2010-12-03T13:17:00Z</dcterms:created>
  <dcterms:modified xsi:type="dcterms:W3CDTF">2010-12-03T13:18:00Z</dcterms:modified>
</cp:coreProperties>
</file>