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0021CE" w:rsidRPr="000021CE" w:rsidTr="000021CE">
        <w:trPr>
          <w:tblCellSpacing w:w="0" w:type="dxa"/>
        </w:trPr>
        <w:tc>
          <w:tcPr>
            <w:tcW w:w="0" w:type="auto"/>
            <w:vAlign w:val="center"/>
            <w:hideMark/>
          </w:tcPr>
          <w:p w:rsidR="000021CE" w:rsidRPr="000021CE" w:rsidRDefault="000021CE" w:rsidP="000021CE">
            <w:pPr>
              <w:spacing w:after="0" w:line="240" w:lineRule="auto"/>
              <w:rPr>
                <w:rFonts w:ascii="Times New Roman" w:eastAsia="Times New Roman" w:hAnsi="Times New Roman" w:cs="Times New Roman"/>
                <w:sz w:val="24"/>
                <w:szCs w:val="24"/>
                <w:lang w:eastAsia="ru-RU"/>
              </w:rPr>
            </w:pPr>
          </w:p>
          <w:tbl>
            <w:tblPr>
              <w:tblW w:w="5000" w:type="pct"/>
              <w:tblCellSpacing w:w="0" w:type="dxa"/>
              <w:shd w:val="clear" w:color="auto" w:fill="ECECEC"/>
              <w:tblCellMar>
                <w:top w:w="15" w:type="dxa"/>
                <w:left w:w="15" w:type="dxa"/>
                <w:bottom w:w="15" w:type="dxa"/>
                <w:right w:w="15" w:type="dxa"/>
              </w:tblCellMar>
              <w:tblLook w:val="04A0"/>
            </w:tblPr>
            <w:tblGrid>
              <w:gridCol w:w="9355"/>
            </w:tblGrid>
            <w:tr w:rsidR="000021CE" w:rsidRPr="000021CE">
              <w:trPr>
                <w:tblCellSpacing w:w="0" w:type="dxa"/>
              </w:trPr>
              <w:tc>
                <w:tcPr>
                  <w:tcW w:w="5000" w:type="pct"/>
                  <w:shd w:val="clear" w:color="auto" w:fill="ECECEC"/>
                  <w:vAlign w:val="center"/>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2590" cy="358140"/>
                        <wp:effectExtent l="19050" t="0" r="0" b="0"/>
                        <wp:docPr id="1" name="Рисунок 1" descr="http://www.mintrans.ru/pressa/_borders/ger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_borders/gerbR.gif"/>
                                <pic:cNvPicPr>
                                  <a:picLocks noChangeAspect="1" noChangeArrowheads="1"/>
                                </pic:cNvPicPr>
                              </pic:nvPicPr>
                              <pic:blipFill>
                                <a:blip r:embed="rId5"/>
                                <a:srcRect/>
                                <a:stretch>
                                  <a:fillRect/>
                                </a:stretch>
                              </pic:blipFill>
                              <pic:spPr bwMode="auto">
                                <a:xfrm>
                                  <a:off x="0" y="0"/>
                                  <a:ext cx="402590" cy="358140"/>
                                </a:xfrm>
                                <a:prstGeom prst="rect">
                                  <a:avLst/>
                                </a:prstGeom>
                                <a:noFill/>
                                <a:ln w="9525">
                                  <a:noFill/>
                                  <a:miter lim="800000"/>
                                  <a:headEnd/>
                                  <a:tailEnd/>
                                </a:ln>
                              </pic:spPr>
                            </pic:pic>
                          </a:graphicData>
                        </a:graphic>
                      </wp:inline>
                    </w:drawing>
                  </w:r>
                </w:p>
              </w:tc>
            </w:tr>
            <w:tr w:rsidR="000021CE" w:rsidRPr="000021CE">
              <w:trPr>
                <w:tblCellSpacing w:w="0" w:type="dxa"/>
              </w:trPr>
              <w:tc>
                <w:tcPr>
                  <w:tcW w:w="5000" w:type="pct"/>
                  <w:shd w:val="clear" w:color="auto" w:fill="ECECEC"/>
                  <w:vAlign w:val="center"/>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21CE">
                    <w:rPr>
                      <w:rFonts w:ascii="Times New Roman" w:eastAsia="Times New Roman" w:hAnsi="Times New Roman" w:cs="Times New Roman"/>
                      <w:b/>
                      <w:bCs/>
                      <w:color w:val="E87400"/>
                      <w:sz w:val="24"/>
                      <w:szCs w:val="24"/>
                      <w:lang w:eastAsia="ru-RU"/>
                    </w:rPr>
                    <w:t>Министерство транспорта Российской Федерации</w:t>
                  </w:r>
                </w:p>
              </w:tc>
            </w:tr>
            <w:tr w:rsidR="000021CE" w:rsidRPr="000021CE">
              <w:trPr>
                <w:tblCellSpacing w:w="0" w:type="dxa"/>
              </w:trPr>
              <w:tc>
                <w:tcPr>
                  <w:tcW w:w="5000" w:type="pct"/>
                  <w:shd w:val="clear" w:color="auto" w:fill="ECECEC"/>
                  <w:vAlign w:val="center"/>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4"/>
                      <w:szCs w:val="24"/>
                      <w:lang w:eastAsia="ru-RU"/>
                    </w:rPr>
                    <w:t> </w:t>
                  </w:r>
                </w:p>
              </w:tc>
            </w:tr>
          </w:tbl>
          <w:p w:rsidR="000021CE" w:rsidRPr="000021CE" w:rsidRDefault="000021CE" w:rsidP="000021CE">
            <w:pPr>
              <w:spacing w:after="0" w:line="240" w:lineRule="auto"/>
              <w:rPr>
                <w:rFonts w:ascii="Times New Roman" w:eastAsia="Times New Roman" w:hAnsi="Times New Roman" w:cs="Times New Roman"/>
                <w:sz w:val="24"/>
                <w:szCs w:val="24"/>
                <w:lang w:eastAsia="ru-RU"/>
              </w:rPr>
            </w:pPr>
          </w:p>
        </w:tc>
      </w:tr>
    </w:tbl>
    <w:p w:rsidR="000021CE" w:rsidRPr="000021CE" w:rsidRDefault="000021CE" w:rsidP="000021CE">
      <w:pPr>
        <w:spacing w:after="0" w:line="240" w:lineRule="auto"/>
        <w:rPr>
          <w:rFonts w:ascii="Times New Roman" w:eastAsia="Times New Roman" w:hAnsi="Times New Roman" w:cs="Times New Roman"/>
          <w:vanish/>
          <w:color w:val="000000"/>
          <w:sz w:val="24"/>
          <w:szCs w:val="24"/>
          <w:lang w:eastAsia="ru-RU"/>
        </w:rPr>
      </w:pPr>
    </w:p>
    <w:tbl>
      <w:tblPr>
        <w:tblW w:w="5000" w:type="pct"/>
        <w:tblCellSpacing w:w="0" w:type="dxa"/>
        <w:tblCellMar>
          <w:left w:w="0" w:type="dxa"/>
          <w:right w:w="0" w:type="dxa"/>
        </w:tblCellMar>
        <w:tblLook w:val="04A0"/>
      </w:tblPr>
      <w:tblGrid>
        <w:gridCol w:w="9355"/>
      </w:tblGrid>
      <w:tr w:rsidR="000021CE" w:rsidRPr="000021CE" w:rsidTr="000021CE">
        <w:trPr>
          <w:tblCellSpacing w:w="0" w:type="dxa"/>
        </w:trPr>
        <w:tc>
          <w:tcPr>
            <w:tcW w:w="0" w:type="auto"/>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4"/>
                <w:szCs w:val="24"/>
                <w:lang w:eastAsia="ru-RU"/>
              </w:rPr>
              <w:t> </w:t>
            </w:r>
          </w:p>
          <w:p w:rsidR="000021CE" w:rsidRPr="000021CE" w:rsidRDefault="000021CE" w:rsidP="000021C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021CE">
              <w:rPr>
                <w:rFonts w:ascii="Times New Roman" w:eastAsia="Times New Roman" w:hAnsi="Times New Roman" w:cs="Times New Roman"/>
                <w:b/>
                <w:bCs/>
                <w:sz w:val="27"/>
                <w:szCs w:val="27"/>
                <w:lang w:eastAsia="ru-RU"/>
              </w:rPr>
              <w:t>ДОКЛАД</w:t>
            </w:r>
          </w:p>
          <w:p w:rsidR="000021CE" w:rsidRPr="000021CE" w:rsidRDefault="000021CE" w:rsidP="000021C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021CE">
              <w:rPr>
                <w:rFonts w:ascii="Times New Roman" w:eastAsia="Times New Roman" w:hAnsi="Times New Roman" w:cs="Times New Roman"/>
                <w:b/>
                <w:bCs/>
                <w:sz w:val="24"/>
                <w:szCs w:val="24"/>
                <w:lang w:eastAsia="ru-RU"/>
              </w:rPr>
              <w:t>Министерства транспорта Российской Федерации о мерах по защите прав потребителей в 2002 году</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b/>
                <w:bCs/>
                <w:sz w:val="20"/>
                <w:szCs w:val="20"/>
                <w:lang w:eastAsia="ru-RU"/>
              </w:rPr>
              <w:t>1. Деятельность по развитию транспортного законодательства. Осуществление контроля за соблюдением законодательства.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течение 2002 года Минтранс России работал над рядом проектов нормативных правовых актов, в которых отражены вопросы защиты интересов потребителей транспортных услуг.</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Разработан и внесен в Правительство Российской Федерации проект федерального закона «Устав автомобильного транспорта». Действующий в настоящее время Устав принят в 1969 году. Новый Устав устранит противоречия и пробелы в законодательстве в части оказания услуг автомобильного транспорта юридическим и физическим лицам.</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Минтранс России активно участвовал в работе над проектом федерального закона (головной исполнитель – Минтруд России) по реформированию системы льгот по оплате проезда пассажирским транспортом общего пользования и замены натуральных льгот адресными денежными компенсациями. Внесение законопроекта в Государственную Думу планируется во втором квартале 2003 года. Принятие закона позволит прекратить практику частичного финансирования льгот за счет завышения тарифов для «платных» пассажиров и крайне неравномерного распределения материальных благ, финансируемых за счет бюджетов разного уровня, среди «льготных» категорий граждан. Кроме того, реформирование системы льгот является ключевым элементом оздоровления предприятий городского пассажирского транспорта, необходимым для повышения качества услуг и безопасности пассажиров.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Ведется разработка подзаконных нормативных правовых актов к транспортным уставам и кодексам, принятым в последние годы.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Для реализации Кодекса торгового мореплавания разработан проект Правил морской перевозки пассажиров и багажа. В согласовании проекта примет участие Общероссийское объединение потребителей.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соответствии с Воздушным кодексом Российской Федерации проводится работа по ужесточению требований к предприятиям гражданской авиации по обеспечению безопасности полетов. В рамках этой работы подготовлен проект Федеральных авиационных правил «Сертификация эксплуатантов гражданской авиации».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целях реализации Кодекса внутреннего водного транспорта Российской Федерации распоряжением Правительства РФ от 03.08.2001 N 1041-пр утвержден План подготовки проектов нормативных правовых актов Правительства Российской Федерации, в числе которых «Правила оказания услуг по перевозке пассажиров, багажа, грузов для личных (бытовых) нужд на внутреннем водном транспорте», нормативные акты по определению порядка ценообразования на речном транспорте, обеспечению безопасности пассажиров и экологической безопасности. Кроме того, разрабатывается ряд ведомственных нормативных актов, также направленных на защиту интересов потребителей транспортных услуг и обеспечение безопасности транспортных процессов.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Минтранс России участвует в подготовке к вступлению в действие с 1 июля 2003 года Федерального закона «Об обязательном страховании гражданской ответственности владельцев автотранспортных средств». Подготовка включает в себя как организационные мероприятия, так и разработку проектов подзаконных нормативных актов.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lastRenderedPageBreak/>
              <w:t>Разработаны и находятся на согласовании Методические рекомендации по проведению Государственной службой гражданской авиации Минтранса России и ее территориальными органами производства по делам об административных правонарушениях на воздушном транспорте.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Минтранс России оказывает помощь органам государственной власти субъектов РФ по формированию регионального транспортного законодательства.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 например, при участии отделений Ространсинспекции были подготовлены и в 2002 году приняты законы о пассажирских перевозках автотранспортом:</w:t>
            </w:r>
          </w:p>
          <w:p w:rsidR="000021CE" w:rsidRPr="000021CE" w:rsidRDefault="000021CE" w:rsidP="000021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республиках Бурятия и Карелия;</w:t>
            </w:r>
          </w:p>
          <w:p w:rsidR="000021CE" w:rsidRPr="000021CE" w:rsidRDefault="000021CE" w:rsidP="000021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Хабаровском, Приморском и Алтайском краях;</w:t>
            </w:r>
          </w:p>
          <w:p w:rsidR="000021CE" w:rsidRPr="000021CE" w:rsidRDefault="000021CE" w:rsidP="000021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Астраханской, Вологодской, Рязанской, Томской, Владимирской, Калужской, Курской, Смоленской областях.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Ранее аналогичные законы при участии отделений были подготовлены и приняты в Республике Калмыкия, Республике Марий Эл, Республике Северная Осетия – Алания и Республике Тыва, а также в Новгородской, Смоленской, Калужской, Амурской и Магаданской областях.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2003 году законы о пассажирских перевозках автотранспортом будут рассмотрены в Чувашской Республике, Курганской, Кировской, Самарской и Мурманской областях.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Отделения Ространсинспекции принимали также участие при подготовке других законодательных актов и нормативной правовой базы в регионах Российской Федерации.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 например, по инициативе Ивановского и Вологодского областных отделений приняты областные законы «Об административных правонарушениях и административной ответственности на пассажирском автомобильном транспорте», а в г. Москве принят закон «Об административной ответственности за нарушение правил пользования наземным городским пассажирским транспортом общего пользования».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По инициативе Московского областного отделения принято распоряжение Губернатора Московской области «О создании межведомственной комиссии по координации деятельности по контролю за перевозками пассажиров и грузов автомобильным транспортом».</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Специалисты Ростовского областного отделения по просьбе Региональной тарифной комиссии Администрации Ростовской области принимали участие в подготовке распоряжения Губернатора Ростовской области «Об утверждении тарифов на перевозку пассажиров и багажа автомобильным транспортом в пригородном и междугороднем сообщении». В настоящее время, данное распоряжение подписано Губернатором Ростовской области, и контроль за его исполнением возложен на Управление ценовой политики Администрации Области и Ростовское областное отделение.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тоже время постановления и распоряжения муниципальных образований субъектов Российской Федерации подвергаются правовой экспертизе, проводимой отделениями Ространсинспекции, и в случае обнаружения нарушений Федерального законодательства, ими принимаются меры по их устранению.</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 например, Челябинским областным отделением было направлено обращение к прокурору Челябинской области, на основании которого был вынесен протест в адрес Председателя городского собрания г. Златоуст, утвердившего «Правила пользования маршрутными такси» в нарушение Федерального законодательства.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Липецким областным отделением предложено внести изменения в областной закон «Об автомобильном и городском электрическом пассажирском транспорте» в отношении организации коммерческих перевозок по регулярным маршрутам с целью приведения его в соответствие с Федеральным законом «О защите прав потребителей».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При участии Отделения по Еврейской автономной области были внесены изменения в закон ЕАО «О маршрутных пассажирских перевозках».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xml:space="preserve">Калининградским областным отделением направлены предложения в Администрацию Калининградской области по приведению в соответствие с Федеральным законодательством отдельных статей областного закона «О пассажирских перевозках на автотранспорте», а Московским областным отделением направлены </w:t>
            </w:r>
            <w:r w:rsidRPr="000021CE">
              <w:rPr>
                <w:rFonts w:ascii="Times New Roman" w:eastAsia="Times New Roman" w:hAnsi="Times New Roman" w:cs="Times New Roman"/>
                <w:sz w:val="20"/>
                <w:szCs w:val="20"/>
                <w:lang w:eastAsia="ru-RU"/>
              </w:rPr>
              <w:lastRenderedPageBreak/>
              <w:t>дополнения, изменения и замечания к проекту закона Московской области «Об административных правонарушениях на пассажирском автомобильном и городском электрическом транспорте».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целях обеспечения единых требований к работе автомобильного транспорта на маршрутах перевозки пассажиров в муниципальных образованьях:</w:t>
            </w:r>
          </w:p>
          <w:p w:rsidR="000021CE" w:rsidRPr="000021CE" w:rsidRDefault="000021CE" w:rsidP="000021C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Красноярским краевым, Томским и Тульским областными, отделениями разработаны, а администрациями регионов приняты положения «О конкурсе на право оказания услуг по перевозке пассажиров и багажа автомобильным транспортом»;</w:t>
            </w:r>
          </w:p>
          <w:p w:rsidR="000021CE" w:rsidRPr="000021CE" w:rsidRDefault="000021CE" w:rsidP="000021C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Чувашским республиканским отделением – «О конкурсе на право организации автобусных маршрутов на коммерческой основе».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Отделения Ространсинспекции принимали участие при подготовке нормативной, правой базы не только в сфере автомобильного транспорта, но и по другим видам транспорта.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 например, с участием Хабаровского краевого отделения принято Постановление Правительства Хабаровского края «О состоянии безопасности дорожного движения на автомобильных дорогах и железнодорожных переездах и мерах по предупреждению аварийности».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Правительством Республики Саха (Якутия) принято постановление «О дотировании внутриулусных пассажирских авиаперевозок», т.е. в Республике впервые реализуется механизм дотаций социально-значимых воздушных линий.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соответствии с предложенной Ямало-Ненецким окружным отделением Программой по безопасности плавания в прибрежно-морских районах и внутренних водных путях Обской Губы подготовлены «Обязательные постановления по устьевому порту г. Салехард». Правительством Республики Саха (Якутия) принято Постановление «О возмещении убытков по пассажирским перевозкам на речном транспорте».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b/>
                <w:bCs/>
                <w:sz w:val="24"/>
                <w:szCs w:val="24"/>
                <w:lang w:eastAsia="ru-RU"/>
              </w:rPr>
            </w:pPr>
            <w:r w:rsidRPr="000021CE">
              <w:rPr>
                <w:rFonts w:ascii="Times New Roman" w:eastAsia="Times New Roman" w:hAnsi="Times New Roman" w:cs="Times New Roman"/>
                <w:b/>
                <w:bCs/>
                <w:sz w:val="20"/>
                <w:szCs w:val="20"/>
                <w:lang w:eastAsia="ru-RU"/>
              </w:rPr>
              <w:t>2. Федеральная целевая программа «Модернизация транспортной системы России».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С 2002 года началась реализация Федеральной целевой программы «Модернизация транспортной системы России». Она направлена на решение вопросов, непосредственно затрагивающих интересы каждого россиянина: обеспечение конституционных гарантий по свободе передвижения, единству экономического пространства, свободному перемещению товаров и услуг.</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рамках подпрограммы «Автомобильные дороги» введены в эксплуатацию более 3,6 тыс. км законченных строительством и реконструкцией автомобильных дорог и 32,8 тыс. пог.м мостовых сооружений на них. Отремонтированы более 22,3 тыс. км автодорог и 41,2 тыс. пог.м мостовых сооружений. Выполненные работы позволят снизить аварийность на автомобильных дорогах, повысят доступность общественных услуг для сельских жителей, снизят долю транспортных издержек в цене товаров.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Кроме того, дорожная отрасль принимает активное участие в ликвидации последствий стихийных бедствий в Южном федеральном округе. В результате принятых мер по состоянию на 1 января 2003 года восстановлено движение на 925 км автодорог (из 1005 км разрушенных) и 192 мостах (из 233), восстановлено прерванное автомобильное сообщение со всеми населенными пунктами.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рамках подпрограммы «Реформирование пассажирского транспорта общего пользования» внедряются пилотные проекты в городах Ростов-на-Дону и Владимир. Подготовлена и доведена до субъектов РФ Общероссийская программа содействия реформам на городском пассажирском транспорте. Для ускорения практической реализации программы в городах России и проведен ряд межрегиональных семинаров с представителями органов местного самоуправления и работниками предприятий городского пассажирского транспорта.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соответствии с подпрограммами «Внутренние водные пути» и «Внутренний водный транспорт» в 2002 году введено из судостроения в эксплуатацию 10 судов, проведено переоборудование и модернизация на повышенный класс судоходства 10 судов, выполнены мероприятия по повышению комфортабельности на 1 пассажирском судне. Российский Речной Регистр подготовил «Руководство по обновлению судов внутреннего и смешанного «река-море» плавания», позволяющее продлить эксплуатационный ресурс транспортных судов при условии обновления их основных элементов.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lastRenderedPageBreak/>
              <w:t>В рамках других подпрограмм («Международные транспортные коридоры», «Гражданская авиация», «Единая система организации воздушного движения», «Морской транспорт», «Безопасность дорожного движения») также проводятся мероприятия, повышающие уровень защиты потребителей транспортных услуг.</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b/>
                <w:bCs/>
                <w:sz w:val="24"/>
                <w:szCs w:val="24"/>
                <w:lang w:eastAsia="ru-RU"/>
              </w:rPr>
            </w:pPr>
            <w:r w:rsidRPr="000021CE">
              <w:rPr>
                <w:rFonts w:ascii="Times New Roman" w:eastAsia="Times New Roman" w:hAnsi="Times New Roman" w:cs="Times New Roman"/>
                <w:b/>
                <w:bCs/>
                <w:sz w:val="20"/>
                <w:szCs w:val="20"/>
                <w:lang w:eastAsia="ru-RU"/>
              </w:rPr>
              <w:t>3. Развитие рынка транспортных услуг.</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2002 году транспортный комплекс полностью обеспечил платежеспособный спрос населения и отраслей экономики в транспортных услугах.</w:t>
            </w:r>
          </w:p>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0021CE">
              <w:rPr>
                <w:rFonts w:ascii="Times New Roman" w:eastAsia="Times New Roman" w:hAnsi="Times New Roman" w:cs="Times New Roman"/>
                <w:sz w:val="20"/>
                <w:szCs w:val="20"/>
                <w:lang w:eastAsia="ru-RU"/>
              </w:rPr>
              <w:t>Перевозки пассажиров по видам транспорта</w:t>
            </w:r>
          </w:p>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0021CE">
              <w:rPr>
                <w:rFonts w:ascii="Times New Roman" w:eastAsia="Times New Roman" w:hAnsi="Times New Roman" w:cs="Times New Roman"/>
                <w:sz w:val="20"/>
                <w:szCs w:val="20"/>
                <w:lang w:eastAsia="ru-RU"/>
              </w:rPr>
              <w:t>(миллионов человек)</w:t>
            </w:r>
          </w:p>
          <w:tbl>
            <w:tblPr>
              <w:tblW w:w="10035"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512"/>
              <w:gridCol w:w="2235"/>
              <w:gridCol w:w="2288"/>
            </w:tblGrid>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w:t>
                  </w:r>
                </w:p>
              </w:tc>
              <w:tc>
                <w:tcPr>
                  <w:tcW w:w="216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21CE">
                    <w:rPr>
                      <w:rFonts w:ascii="Times New Roman" w:eastAsia="Times New Roman" w:hAnsi="Times New Roman" w:cs="Times New Roman"/>
                      <w:b/>
                      <w:bCs/>
                      <w:sz w:val="20"/>
                      <w:szCs w:val="20"/>
                      <w:lang w:eastAsia="ru-RU"/>
                    </w:rPr>
                    <w:t>2001 г.</w:t>
                  </w:r>
                </w:p>
              </w:tc>
              <w:tc>
                <w:tcPr>
                  <w:tcW w:w="2205"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21CE">
                    <w:rPr>
                      <w:rFonts w:ascii="Times New Roman" w:eastAsia="Times New Roman" w:hAnsi="Times New Roman" w:cs="Times New Roman"/>
                      <w:b/>
                      <w:bCs/>
                      <w:sz w:val="20"/>
                      <w:szCs w:val="20"/>
                      <w:lang w:eastAsia="ru-RU"/>
                    </w:rPr>
                    <w:t>2002 г.</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Транспорт всех отраслей экономики</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45 177,3</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43 961,4</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том числе:</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Транспорт отраслей Минтранса России</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43 871,4</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42 690,7</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трамвайный</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7 353,5</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6 986,8</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метрополитенный</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4 204,6</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4 199,5</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троллейбусный</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8 604,3</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8 175,7</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автомобильный</w:t>
                  </w:r>
                  <w:r w:rsidRPr="000021CE">
                    <w:rPr>
                      <w:rFonts w:ascii="Times New Roman" w:eastAsia="Times New Roman" w:hAnsi="Times New Roman" w:cs="Times New Roman"/>
                      <w:sz w:val="20"/>
                      <w:szCs w:val="20"/>
                      <w:vertAlign w:val="superscript"/>
                      <w:lang w:eastAsia="ru-RU"/>
                    </w:rPr>
                    <w:t>1,2</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23 651,8</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23 269,0</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морской</w:t>
                  </w:r>
                  <w:r w:rsidRPr="000021CE">
                    <w:rPr>
                      <w:rFonts w:ascii="Times New Roman" w:eastAsia="Times New Roman" w:hAnsi="Times New Roman" w:cs="Times New Roman"/>
                      <w:sz w:val="20"/>
                      <w:szCs w:val="20"/>
                      <w:vertAlign w:val="superscript"/>
                      <w:lang w:eastAsia="ru-RU"/>
                    </w:rPr>
                    <w:t>1,3</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0,8</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0,7</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внутренний водный</w:t>
                  </w:r>
                  <w:r w:rsidRPr="000021CE">
                    <w:rPr>
                      <w:rFonts w:ascii="Times New Roman" w:eastAsia="Times New Roman" w:hAnsi="Times New Roman" w:cs="Times New Roman"/>
                      <w:sz w:val="20"/>
                      <w:szCs w:val="20"/>
                      <w:vertAlign w:val="superscript"/>
                      <w:lang w:eastAsia="ru-RU"/>
                    </w:rPr>
                    <w:t>1,4</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30,0</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31,1</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авиационный</w:t>
                  </w:r>
                  <w:r w:rsidRPr="000021CE">
                    <w:rPr>
                      <w:rFonts w:ascii="Times New Roman" w:eastAsia="Times New Roman" w:hAnsi="Times New Roman" w:cs="Times New Roman"/>
                      <w:sz w:val="20"/>
                      <w:szCs w:val="20"/>
                      <w:vertAlign w:val="superscript"/>
                      <w:lang w:eastAsia="ru-RU"/>
                    </w:rPr>
                    <w:t>1</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26,4</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27,9</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Транспорт других министерств и ведомств</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w:t>
                  </w:r>
                </w:p>
              </w:tc>
            </w:tr>
            <w:tr w:rsidR="000021CE" w:rsidRPr="000021CE">
              <w:trPr>
                <w:tblCellSpacing w:w="7" w:type="dxa"/>
                <w:jc w:val="center"/>
              </w:trPr>
              <w:tc>
                <w:tcPr>
                  <w:tcW w:w="5340" w:type="dxa"/>
                  <w:tcBorders>
                    <w:top w:val="outset" w:sz="6" w:space="0" w:color="auto"/>
                    <w:left w:val="outset" w:sz="6" w:space="0" w:color="auto"/>
                    <w:bottom w:val="outset" w:sz="6" w:space="0" w:color="auto"/>
                    <w:right w:val="outset" w:sz="6" w:space="0" w:color="auto"/>
                  </w:tcBorders>
                  <w:vAlign w:val="center"/>
                  <w:hideMark/>
                </w:tcPr>
                <w:p w:rsidR="000021CE" w:rsidRPr="000021CE" w:rsidRDefault="000021CE" w:rsidP="000021C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железнодорожный</w:t>
                  </w:r>
                </w:p>
              </w:tc>
              <w:tc>
                <w:tcPr>
                  <w:tcW w:w="2160"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1 305,9</w:t>
                  </w:r>
                </w:p>
              </w:tc>
              <w:tc>
                <w:tcPr>
                  <w:tcW w:w="2205" w:type="dxa"/>
                  <w:tcBorders>
                    <w:top w:val="outset" w:sz="6" w:space="0" w:color="auto"/>
                    <w:left w:val="outset" w:sz="6" w:space="0" w:color="auto"/>
                    <w:bottom w:val="outset" w:sz="6" w:space="0" w:color="auto"/>
                    <w:right w:val="outset" w:sz="6" w:space="0" w:color="auto"/>
                  </w:tcBorders>
                  <w:vAlign w:val="bottom"/>
                  <w:hideMark/>
                </w:tcPr>
                <w:p w:rsidR="000021CE" w:rsidRPr="000021CE" w:rsidRDefault="000021CE" w:rsidP="000021C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1 270,7</w:t>
                  </w:r>
                </w:p>
              </w:tc>
            </w:tr>
          </w:tbl>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1</w:t>
            </w:r>
            <w:r w:rsidRPr="000021CE">
              <w:rPr>
                <w:rFonts w:ascii="Times New Roman" w:eastAsia="Times New Roman" w:hAnsi="Times New Roman" w:cs="Times New Roman"/>
                <w:sz w:val="20"/>
                <w:vertAlign w:val="superscript"/>
                <w:lang w:eastAsia="ru-RU"/>
              </w:rPr>
              <w:t> </w:t>
            </w:r>
            <w:r w:rsidRPr="000021CE">
              <w:rPr>
                <w:rFonts w:ascii="Times New Roman" w:eastAsia="Times New Roman" w:hAnsi="Times New Roman" w:cs="Times New Roman"/>
                <w:sz w:val="20"/>
                <w:szCs w:val="20"/>
                <w:vertAlign w:val="superscript"/>
                <w:lang w:eastAsia="ru-RU"/>
              </w:rPr>
              <w:t>Оценка.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0"/>
                <w:szCs w:val="20"/>
                <w:vertAlign w:val="superscript"/>
                <w:lang w:eastAsia="ru-RU"/>
              </w:rPr>
            </w:pPr>
            <w:r w:rsidRPr="000021CE">
              <w:rPr>
                <w:rFonts w:ascii="Times New Roman" w:eastAsia="Times New Roman" w:hAnsi="Times New Roman" w:cs="Times New Roman"/>
                <w:sz w:val="20"/>
                <w:szCs w:val="20"/>
                <w:vertAlign w:val="superscript"/>
                <w:lang w:eastAsia="ru-RU"/>
              </w:rPr>
              <w:t>2 Все автотранспортные организации и индивидуальные предприниматели.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0"/>
                <w:szCs w:val="20"/>
                <w:vertAlign w:val="superscript"/>
                <w:lang w:eastAsia="ru-RU"/>
              </w:rPr>
            </w:pPr>
            <w:r w:rsidRPr="000021CE">
              <w:rPr>
                <w:rFonts w:ascii="Times New Roman" w:eastAsia="Times New Roman" w:hAnsi="Times New Roman" w:cs="Times New Roman"/>
                <w:sz w:val="20"/>
                <w:szCs w:val="20"/>
                <w:vertAlign w:val="superscript"/>
                <w:lang w:eastAsia="ru-RU"/>
              </w:rPr>
              <w:t>3 Все виды сообщения, все организации подотрасли «Морской транспорт» и других отраслей экономики.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0"/>
                <w:szCs w:val="20"/>
                <w:vertAlign w:val="superscript"/>
                <w:lang w:eastAsia="ru-RU"/>
              </w:rPr>
            </w:pPr>
            <w:r w:rsidRPr="000021CE">
              <w:rPr>
                <w:rFonts w:ascii="Times New Roman" w:eastAsia="Times New Roman" w:hAnsi="Times New Roman" w:cs="Times New Roman"/>
                <w:sz w:val="20"/>
                <w:szCs w:val="20"/>
                <w:vertAlign w:val="superscript"/>
                <w:lang w:eastAsia="ru-RU"/>
              </w:rPr>
              <w:t>4 Все виды сообщения, все организации подотрасли «Внутренний водный транспорт» и других отраслей экономики.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городском и пригородном сообщении произошло незначительное уменьшение объемов перевозок. Изменение находится в пределах обычных ежегодных отклонений и не свидетельствует о наличии какой-либо негативной тенденции. Кроме того, имеет место погрешность данных вследствие существенного изменения структуры перевозчиков. Для получения более точных данных Минтрансом России планируется проведение корректировки методологии статистического наблюдения.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 xml:space="preserve">В междугородном пассажирском сообщении, как и в предыдущие годы, продолжается рост объемов перевозок - авиационным на 6 % и внутренним водным транспортом на 4 %, пассажирооборот увеличился на 7 и 6 процентов соответственно. Рост произошел за счет восстановления судоходства и воздушного сообщения по внутрироссийским маршрутам, прерванного в 90-х годах по экономическим причинам, развития туристических перевозок внутренним водным транспортом (перевозки на туристических линиях возросли на 13%, экскурсионно-прогулочных - на 14,1%). В 2002 году значительный рост в междугородном сообщении отмечен также на автомобильном транспорте – перевозки возросли на 9 %, а пассажирооборот на 8%. Одним из основных факторов увеличения объемов перевозок является </w:t>
            </w:r>
            <w:r w:rsidRPr="000021CE">
              <w:rPr>
                <w:rFonts w:ascii="Times New Roman" w:eastAsia="Times New Roman" w:hAnsi="Times New Roman" w:cs="Times New Roman"/>
                <w:sz w:val="20"/>
                <w:szCs w:val="20"/>
                <w:vertAlign w:val="superscript"/>
                <w:lang w:eastAsia="ru-RU"/>
              </w:rPr>
              <w:lastRenderedPageBreak/>
              <w:t>успешная конкуренция с железнодорожным транспортом.</w:t>
            </w:r>
          </w:p>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noProof/>
                <w:sz w:val="20"/>
                <w:szCs w:val="20"/>
                <w:vertAlign w:val="superscript"/>
                <w:lang w:eastAsia="ru-RU"/>
              </w:rPr>
              <w:drawing>
                <wp:inline distT="0" distB="0" distL="0" distR="0">
                  <wp:extent cx="5932805" cy="3445510"/>
                  <wp:effectExtent l="19050" t="0" r="0" b="0"/>
                  <wp:docPr id="2" name="Рисунок 2" descr="http://www.mintrans.ru/images/Doklad1_180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ntrans.ru/images/Doklad1_180303.gif"/>
                          <pic:cNvPicPr>
                            <a:picLocks noChangeAspect="1" noChangeArrowheads="1"/>
                          </pic:cNvPicPr>
                        </pic:nvPicPr>
                        <pic:blipFill>
                          <a:blip r:embed="rId6"/>
                          <a:srcRect/>
                          <a:stretch>
                            <a:fillRect/>
                          </a:stretch>
                        </pic:blipFill>
                        <pic:spPr bwMode="auto">
                          <a:xfrm>
                            <a:off x="0" y="0"/>
                            <a:ext cx="5932805" cy="3445510"/>
                          </a:xfrm>
                          <a:prstGeom prst="rect">
                            <a:avLst/>
                          </a:prstGeom>
                          <a:noFill/>
                          <a:ln w="9525">
                            <a:noFill/>
                            <a:miter lim="800000"/>
                            <a:headEnd/>
                            <a:tailEnd/>
                          </a:ln>
                        </pic:spPr>
                      </pic:pic>
                    </a:graphicData>
                  </a:graphic>
                </wp:inline>
              </w:drawing>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Надежная и эффективная работа общественного транспорта для России является важнейшим показателем социально-политической и экономической стабильности. Транспорт общего пользования обеспечивает основную часть трудовых поездок населения, непосредственно влияя на эффективность экономики страны. Он является важнейшей составной частью городской инфраструктуры. Его устойчивая и эффективная работа в значительной степени влияет на социальную обстановку в городах.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Автобусным транспортом обслуживается 1274 города и поселка городского типа, а также 79935 населенных пунктов, расположенных в сельской местности. Общая протяженность автобусных маршрутов составляет 1926,2 тыс. км. Всего действует 32011 автобусных маршрутов, в т.ч. 9909 – городских, 15766 – пригородных, 6231 – междугородных.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Городской электрический транспорт (трамвай, троллейбус, метро) функционирует в 116 городах Российской Федерации (в том числе трамвайный в 67, троллейбусный 89, метро в 6 городах). Перевозка осуществляется на 1626 маршрутах. На конец 2002 года протяженность трамвайных путей составила 6453 км (уменьшение за год на 0,3 %), троллейбусных линий 10160 км (прирост за год 2,0 %), путей метрополитена 412 км (прирост за год на 1,5 %). Введены 4 новые станции на Екатеринбургском, Московском, Нижегородском и Самарском метрополитенах, на Московском метрополитене после реконструкции открыта станция «Воробьевы горы».</w:t>
            </w:r>
          </w:p>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Наличие транспорта общего пользования, обслуживающего</w:t>
            </w:r>
            <w:r w:rsidRPr="000021CE">
              <w:rPr>
                <w:rFonts w:ascii="Times New Roman" w:eastAsia="Times New Roman" w:hAnsi="Times New Roman" w:cs="Times New Roman"/>
                <w:sz w:val="24"/>
                <w:szCs w:val="24"/>
                <w:vertAlign w:val="superscript"/>
                <w:lang w:eastAsia="ru-RU"/>
              </w:rPr>
              <w:t> </w:t>
            </w:r>
            <w:r w:rsidRPr="000021CE">
              <w:rPr>
                <w:rFonts w:ascii="Times New Roman" w:eastAsia="Times New Roman" w:hAnsi="Times New Roman" w:cs="Times New Roman"/>
                <w:sz w:val="20"/>
                <w:szCs w:val="20"/>
                <w:vertAlign w:val="superscript"/>
                <w:lang w:eastAsia="ru-RU"/>
              </w:rPr>
              <w:t>регулярные маршруты в городском и пригородном сообщении</w:t>
            </w:r>
          </w:p>
          <w:tbl>
            <w:tblPr>
              <w:tblW w:w="8700" w:type="dxa"/>
              <w:jc w:val="center"/>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4A0"/>
            </w:tblPr>
            <w:tblGrid>
              <w:gridCol w:w="5929"/>
              <w:gridCol w:w="2771"/>
            </w:tblGrid>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Виды подвижного состава</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Количество, тыс.шт.</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Автобусы – всего</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123,1</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том числе принадлежащих:</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after="0"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крупным и средним автопредприятиям</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82,3</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физическим лицам</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35,6</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малым автопредприятиям</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3,7</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 предприятиям других отраслей экономики</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1,5</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Трамваи</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11,4</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lastRenderedPageBreak/>
                    <w:t>Троллейбусы</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12,2</w:t>
                  </w:r>
                </w:p>
              </w:tc>
            </w:tr>
            <w:tr w:rsidR="000021CE" w:rsidRPr="000021CE">
              <w:trPr>
                <w:tblCellSpacing w:w="7" w:type="dxa"/>
                <w:jc w:val="center"/>
              </w:trPr>
              <w:tc>
                <w:tcPr>
                  <w:tcW w:w="544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Вагоны метро</w:t>
                  </w:r>
                </w:p>
              </w:tc>
              <w:tc>
                <w:tcPr>
                  <w:tcW w:w="2535" w:type="dxa"/>
                  <w:tcBorders>
                    <w:top w:val="outset" w:sz="6" w:space="0" w:color="auto"/>
                    <w:left w:val="outset" w:sz="6" w:space="0" w:color="auto"/>
                    <w:bottom w:val="outset" w:sz="6" w:space="0" w:color="auto"/>
                    <w:right w:val="outset" w:sz="6" w:space="0" w:color="auto"/>
                  </w:tcBorders>
                  <w:hideMark/>
                </w:tcPr>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5,8</w:t>
                  </w:r>
                </w:p>
              </w:tc>
            </w:tr>
          </w:tbl>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За последнее десятилетие парк автобусов уменьшился более чем на 30 тыс. единиц. Около 70% эксплуатируемых в настоящее время маршрутных автобусов самортизированы, более 50% из них подлежат безотлагательной выбраковке по критериям обеспечения безопасности дорожного движения. На городском электрическом транспорте доля транспортных средств, эксплуатируемых сверх нормативного срока службы, составила по трамваям - 53,7 %, троллейбусам - 50,1 %, вагонам метрополитена – 15,7 %.</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Отсутствие инвестиционной составляющей в тарифах на пассажирские перевозки не позволяет транспортным предприятиям иметь собственные средства даже для простого воспроизводства. Начисляемые амортизационные отчисления не позволяют аккумулировать финансовые ресурсы в объемах, достаточных для покрытия списываемого парка.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Приобретение подвижного состава осуществляется, главным образом, за счет средств, выделяемых из бюджетов субъектов РФ и местных бюджетов. К примеру, при общем объеме инвестиций в городской наземный электрический транспорт за счет всех источников финансирования 3,2 млрд.руб., 2,4 млрд.руб. – средства местного бюджета. В разрезе регионов России наблюдаются значительные различия по уровню приобретения и обновления пассажирского парка, что во многом свидетельствует о субъективности в подходах к данной проблеме соответствующих органов власти.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Наряду с интенсивным старением транспортных средств, имеет место и значительный, свыше 50 %, износ в целом основных производственных фондов. В первую очередь это относится к ремонтной базе пассажирских предприятий, трамвайным путям, контактной и кабельной сетям. К примеру, 7 % трамвайных депо в крупнейших краевых и областных центрах построены еще в ХIХ веке, 9 % - до 1917 года.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На метрополитенах обновление основных средств, том числе эскалаторов, систем вентиляции и водооткачки, аппаратуры сигнализации и связи, тоннельных сооружений, также ведется крайне низкими темпами. Особенно остро проблема износа основных фондов стоит перед Московским и Петербургским метрополитенами.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Ежегодная минимальная потребность в обновлении автобусного парка предприятий автотранспорта общего пользования составляет 15 тыс. единиц. В последние годы пополнение парка производится на уровне 4 – 5 тыс. новых автобусов, явно не обеспечивающем даже простого воспроизводства эксплуатационных автобусов. В 2002 году, при потребности в 600 трамваев и 1,5 тысячи троллейбусов, за счет средств местных бюджетов, по предварительной оценке, приобретено 132 трамвайных вагонов и 760 троллейбусов.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целом по стране в 2002 году 52 % перевозок городского общественного пассажирского транспорта выполнено автобусами, 21 % - троллейбусами, 17 % - трамваями, 10 % - метрополитеном. В ряде крупных городов на долю городского электрического транспорта приходится более 50 % внутригородских пассажирских перевозок.</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Под постоянным контролем Минтранса России находились вопросы обеспечения доставки грузов в районы Крайнего Севера и приравненные к ним местности. В 2002 году были доставлены все предъявленные к перевозкам грузы. По итогам навигации морским и речным транспортом в рамках «северного завоза» доставлено более 15,7 млн. тонн грузов. В отличие от прежних лет практически исчезла проблема с оплатой услуг перевозчиков.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Индексы тарифов на пассажирские перевозки (126,0 %) превысили уровень индекса потребительских цен (115,1 %). Однако в многолетней динамике продолжает сохраняться отставание роста стоимости транспортных услуг, сложившееся как следствие экономического кризиса 1998, когда при росте потребительских цен на 184,0 %, индекс тарифов на пассажирские перевозки составил 114,1 %. Повлияло на рост тарифов также то обстоятельство, что в течение 2002 года не удалось решить проблему «льготных» пассажиров.</w:t>
            </w:r>
          </w:p>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Изменение индексов потребительских цен и тарифов на пассажирские перевозки</w:t>
            </w:r>
          </w:p>
          <w:p w:rsidR="000021CE" w:rsidRPr="000021CE" w:rsidRDefault="000021CE" w:rsidP="000021CE">
            <w:pPr>
              <w:spacing w:before="100" w:beforeAutospacing="1" w:after="100" w:afterAutospacing="1" w:line="240" w:lineRule="auto"/>
              <w:jc w:val="center"/>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noProof/>
                <w:sz w:val="20"/>
                <w:szCs w:val="20"/>
                <w:vertAlign w:val="superscript"/>
                <w:lang w:eastAsia="ru-RU"/>
              </w:rPr>
              <w:lastRenderedPageBreak/>
              <w:drawing>
                <wp:inline distT="0" distB="0" distL="0" distR="0">
                  <wp:extent cx="7161530" cy="3635375"/>
                  <wp:effectExtent l="19050" t="0" r="1270" b="0"/>
                  <wp:docPr id="3" name="Рисунок 3" descr="http://www.mintrans.ru/images/Doklad2_180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trans.ru/images/Doklad2_180303.gif"/>
                          <pic:cNvPicPr>
                            <a:picLocks noChangeAspect="1" noChangeArrowheads="1"/>
                          </pic:cNvPicPr>
                        </pic:nvPicPr>
                        <pic:blipFill>
                          <a:blip r:embed="rId7"/>
                          <a:srcRect/>
                          <a:stretch>
                            <a:fillRect/>
                          </a:stretch>
                        </pic:blipFill>
                        <pic:spPr bwMode="auto">
                          <a:xfrm>
                            <a:off x="0" y="0"/>
                            <a:ext cx="7161530" cy="3635375"/>
                          </a:xfrm>
                          <a:prstGeom prst="rect">
                            <a:avLst/>
                          </a:prstGeom>
                          <a:noFill/>
                          <a:ln w="9525">
                            <a:noFill/>
                            <a:miter lim="800000"/>
                            <a:headEnd/>
                            <a:tailEnd/>
                          </a:ln>
                        </pic:spPr>
                      </pic:pic>
                    </a:graphicData>
                  </a:graphic>
                </wp:inline>
              </w:drawing>
            </w:r>
          </w:p>
          <w:p w:rsidR="000021CE" w:rsidRPr="000021CE" w:rsidRDefault="000021CE" w:rsidP="000021CE">
            <w:pPr>
              <w:spacing w:before="100" w:beforeAutospacing="1" w:after="100" w:afterAutospacing="1" w:line="240" w:lineRule="auto"/>
              <w:rPr>
                <w:rFonts w:ascii="Times New Roman" w:eastAsia="Times New Roman" w:hAnsi="Times New Roman" w:cs="Times New Roman"/>
                <w:b/>
                <w:bCs/>
                <w:sz w:val="24"/>
                <w:szCs w:val="24"/>
                <w:vertAlign w:val="superscript"/>
                <w:lang w:eastAsia="ru-RU"/>
              </w:rPr>
            </w:pPr>
            <w:r w:rsidRPr="000021CE">
              <w:rPr>
                <w:rFonts w:ascii="Times New Roman" w:eastAsia="Times New Roman" w:hAnsi="Times New Roman" w:cs="Times New Roman"/>
                <w:b/>
                <w:bCs/>
                <w:sz w:val="20"/>
                <w:szCs w:val="20"/>
                <w:vertAlign w:val="superscript"/>
                <w:lang w:eastAsia="ru-RU"/>
              </w:rPr>
              <w:t>4. Проблемы защиты интересов потребителей услуг пассажирского транспорта общего пользования.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Анализ состояния пассажирского транспорта общего пользования, услугами которого ежедневно пользуется 125 млн. человек, показывает, что во многих субъектах Российской Федерации в городском и пригородном сообщении распространена недобросовестная конкуренция среди перевозчиков, увеличивается доля «теневого» сектора. В качестве выхода из создавшегося положения предлагается заменить конкуренцию перевозчиков на маршрутах на конкуренцию за право допуска к маршрутным перевозкам.</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соответствии с этим в 23 субъектах Российской Федерации приняты нормативные правовые акты по регулированию допуска перевозчиков к маршрутным пассажирским перевозкам, конкурсная система допуска введена в 440 городах. Целью регулирования является выполнение перевозчиками обязательных требований, направленных на защиту интересов потребителей услуг пассажирского транспорта:</w:t>
            </w:r>
          </w:p>
          <w:p w:rsidR="000021CE" w:rsidRPr="000021CE" w:rsidRDefault="000021CE" w:rsidP="000021CE">
            <w:pPr>
              <w:numPr>
                <w:ilvl w:val="0"/>
                <w:numId w:val="11"/>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соблюдение расписания движения и полноценное обслуживание маршрутной сети вне зависимости от коммерческой привлекательности того или иного маршрута,</w:t>
            </w:r>
          </w:p>
          <w:p w:rsidR="000021CE" w:rsidRPr="000021CE" w:rsidRDefault="000021CE" w:rsidP="000021CE">
            <w:pPr>
              <w:numPr>
                <w:ilvl w:val="0"/>
                <w:numId w:val="11"/>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обеспечение безопасности пассажиров и установленного уровня потребительских свойств оказываемых услуг,</w:t>
            </w:r>
          </w:p>
          <w:p w:rsidR="000021CE" w:rsidRPr="000021CE" w:rsidRDefault="000021CE" w:rsidP="000021CE">
            <w:pPr>
              <w:numPr>
                <w:ilvl w:val="0"/>
                <w:numId w:val="11"/>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возможность внедрения общегородского оперативного диспетчерского управления, распространяющегося на всех перевозчиков независимо от их форм собственности и организационно-правовых форм.</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МАП России рассматривает введение регулирования допуска перевозчиков на городские маршруты как нарушение законодательства о конкуренции. Территориальные органы МАП России отменяют решения органов государственной власти субъектов Российской Федерации и органов местного самоуправления по данному вопросу, в том числе результаты проведенных конкурсов. Эти действия ущемляют интересы потребителей, а также добросовестных перевозчиков, несущих финансовые потери, ведут к избытку транспорта на наиболее привлекательных с коммерческой точки зрения маршрутах и его нехватке на других маршрутах, снижению экономической эффективности бюджетных и частных инвестиций, направляемых на развитие городского пассажирского транспорта, росту тарифов.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Минтранс России, органы регулирования транспортной деятельности субъектов РФ и муниципальных образований считают, что данная проблема требует скорейшего решения. Острота проблемы подчеркивается тем, что ряд субъектов законодательной инициативы вносили на рассмотрение и согласование органов государственной власти проекты федеральных законов о внесении изменений в законодательство о местном самоуправлении, другие федеральные законы.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Выходом из создавшейся ситуации может быть принятие Минтрансом России и МАП России совместного нормативного или рекомендательного документа.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b/>
                <w:bCs/>
                <w:sz w:val="24"/>
                <w:szCs w:val="24"/>
                <w:vertAlign w:val="superscript"/>
                <w:lang w:eastAsia="ru-RU"/>
              </w:rPr>
            </w:pPr>
            <w:r w:rsidRPr="000021CE">
              <w:rPr>
                <w:rFonts w:ascii="Times New Roman" w:eastAsia="Times New Roman" w:hAnsi="Times New Roman" w:cs="Times New Roman"/>
                <w:b/>
                <w:bCs/>
                <w:sz w:val="20"/>
                <w:szCs w:val="20"/>
                <w:vertAlign w:val="superscript"/>
                <w:lang w:eastAsia="ru-RU"/>
              </w:rPr>
              <w:t>5. Деятельность по обеспечению безопасного функционирования транспортного комплекса и надлежащего качества транспортных услуг; обращения потребителей транспортных услуг; проводимые проверки; выявленные нарушения; санкции за нарушение законодательства.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Контроль качества транспортных услуг и работа с жалобами потребителей осуществляются как центральным аппаратом Минтранса России, так и его территориальными органами.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lastRenderedPageBreak/>
              <w:t>Поступающие в Минтранс России жалобы и обращения граждан рассматриваются в установленном порядке, по каждому обращению заявителю направляется информация о принятых мерах. При необходимости даются поручения подведомственным органам о принятии мер к нарушителям, готовятся рекомендации органам местного самоуправления и транспортным организациям по устранению имеющихся недостатков. Всего в 2002 году центральным аппаратом Минтранса России рассмотрено 669 письменных</w:t>
            </w:r>
            <w:r w:rsidRPr="000021CE">
              <w:rPr>
                <w:rFonts w:ascii="Times New Roman" w:eastAsia="Times New Roman" w:hAnsi="Times New Roman" w:cs="Times New Roman"/>
                <w:color w:val="FF0000"/>
                <w:sz w:val="20"/>
                <w:vertAlign w:val="superscript"/>
                <w:lang w:eastAsia="ru-RU"/>
              </w:rPr>
              <w:t> </w:t>
            </w:r>
            <w:r w:rsidRPr="000021CE">
              <w:rPr>
                <w:rFonts w:ascii="Times New Roman" w:eastAsia="Times New Roman" w:hAnsi="Times New Roman" w:cs="Times New Roman"/>
                <w:sz w:val="20"/>
                <w:szCs w:val="20"/>
                <w:vertAlign w:val="superscript"/>
                <w:lang w:eastAsia="ru-RU"/>
              </w:rPr>
              <w:t>обращений граждан, в том числе 37 коллективных.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целях улучшения информационного обеспечения потребителей транспортных услуг создан Интернет-сайт Минтранса России. На сайте размещены документы, касающиеся правовых основ деятельности, и реквизиты органов государственного регулирования на транспорте, данные о транспортных организациях, другая информация.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Значительная часть работы по защите прав потребителей сосредоточена в отделениях Российской транспортной инспекции, территориальных управлениях воздушного транспорта, Государственной речной судоходной инспекции, морских администрациях портов и других территориальных органах.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На воздушном транспорте в результате контрольных мероприятий аннулировано 42 сертификата эксплуатанта по причине неспособности авиакомпаний своевременно принимать меры по поддержанию летной годности воздушных судов и неудовлетворительной организации летной работы.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целях защиты интересов потребителей услуг гражданской авиации, обеспечения безопасности авиационных перевозок и работ, не реже одного раза в год проводится контроль финансово-экономического соответствия всех организаций, осуществляющих коммерческую деятельность в отрасли.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проведены комплексные проверки состояния безопасности полетов в 4 территориальных управлениях воздушного транспорта Минтранса России, по результатам которых разработаны рекомендации по улучшению работы управлений и действующих в этих регионах авиапредприятиях.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Проведены инспекционные проверки организации подготовки и выполнения полетов на 5 аэродромах (Мячково, Тушино, Ермолино, Туношна (Ярославль), Сочи), деятельности 23 авиаперевозчиков. Всего проведено более 7000 инспекторских проверок состояния организации летной работы, обслуживания воздушных судов на перроне, летной эксплуатации, технического обслуживания воздушных судов, базовых объектов и средств обеспечения полетов, аэродромов и посадочных площадок. Усилен контроль за грузовыми чартерными перевозками, прежде всего в российско-китайском сообщении.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По предложению Минтранса России Постановлением Правительства РФ от 27 апреля 2002 года № 275 увеличена численность государственных инспекторов гражданской авиации на 499 человек, из них 467 – непосредственно на создание «полевых» инспекций в аэропортах.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Государственной речной судоходной инспекцией проверено более 200 организаций, судами которых допущены транспортные происшествия и нарушения Правил плавания. По выявленным нарушениям принимались соответствующие меры. Принятые меры позволили в навигацию 2002 г. более чем на 20% по сравнению с 2001 г. снизить число транспортных происшествий.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Обследуются на предмет безопасности судоходные гидротехнические сооружения. В 2002 г. продекларировано 41 гидротехническое сооружение, работа по декларированию будет завершена в 2003 г.</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Отделениями Ространсинспекции в 2002 году проделана следующая работа: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i/>
                <w:iCs/>
                <w:sz w:val="24"/>
                <w:szCs w:val="24"/>
                <w:u w:val="single"/>
                <w:vertAlign w:val="superscript"/>
                <w:lang w:eastAsia="ru-RU"/>
              </w:rPr>
            </w:pPr>
            <w:r w:rsidRPr="000021CE">
              <w:rPr>
                <w:rFonts w:ascii="Times New Roman" w:eastAsia="Times New Roman" w:hAnsi="Times New Roman" w:cs="Times New Roman"/>
                <w:i/>
                <w:iCs/>
                <w:sz w:val="20"/>
                <w:szCs w:val="20"/>
                <w:u w:val="single"/>
                <w:vertAlign w:val="superscript"/>
                <w:lang w:eastAsia="ru-RU"/>
              </w:rPr>
              <w:t>Автомобильный транспорт</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количество субъектов, осуществляющих свою деятельность по специальному разрешению – лицензии составило почти 366 тыс. единиц. Около 151 тыс. субъектов в прошедшем году была проверена отделениями Ространсинспекции, в том числе по жалобам потребителей – 814 субъектов.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проверок было выявлено свыше 333 тыс. нарушений и привлечено к административной ответственности около 56 тыс. человек, выдано почти 90 тыс. предписаний, направлено 6,8 тыс. представлений в органы государственной власти, управления и контроля. Приостановлено действие почти 1,8 тыс. лицензий, а так же 555 лицензий аннулировано.</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Основными нарушениями условий и требований лицензирования и транспортного законодательства является несоблюдение требований Федерального закона от 10.12.95 № 196 «О безопасности дорожного движения», «Правил перевозки грузов автомобильным транспортом», «Правил организации пассажирских перевозок автомобильным транспортом».</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Совместно с Главным управлением ГИБДД МВД России выработаны направления взаимодействия территориальных подразделений РТИ и ГИБДД. Отработана система плановых совместных проверок и обследований автотранспортных предприятий, реализаций мероприятий по профилактике аварийности на автомобильном транспорте. Так, например, операции «Автобус», «Внимание - дети», «Лицензия», «Переезд», «Челнок». Действует система обмена информацией о дорожно-транспортных происшествиях, как на территориальном уровне, так и между оперативным постом Ространсинспекции Минтранса России и дежурным центрального аппарата ГУ ГИБДД МВД России.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Особое внимание при проверках было уделено пассажирским перевозкам, в том числе и перевозкам детей.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lastRenderedPageBreak/>
              <w:t>В ходе проверок были выявлены следующие недостатки и нарушения:</w:t>
            </w:r>
          </w:p>
          <w:p w:rsidR="000021CE" w:rsidRPr="000021CE" w:rsidRDefault="000021CE" w:rsidP="000021CE">
            <w:pPr>
              <w:numPr>
                <w:ilvl w:val="0"/>
                <w:numId w:val="12"/>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не соблюдается режим труда и отдыха водителей;</w:t>
            </w:r>
          </w:p>
          <w:p w:rsidR="000021CE" w:rsidRPr="000021CE" w:rsidRDefault="000021CE" w:rsidP="000021CE">
            <w:pPr>
              <w:numPr>
                <w:ilvl w:val="0"/>
                <w:numId w:val="12"/>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не организован предрейсовый и после рейсовый медицинский осмотр водительского состава;</w:t>
            </w:r>
          </w:p>
          <w:p w:rsidR="000021CE" w:rsidRPr="000021CE" w:rsidRDefault="000021CE" w:rsidP="000021CE">
            <w:pPr>
              <w:numPr>
                <w:ilvl w:val="0"/>
                <w:numId w:val="12"/>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не организован технический осмотр подвижного состава;</w:t>
            </w:r>
          </w:p>
          <w:p w:rsidR="000021CE" w:rsidRPr="000021CE" w:rsidRDefault="000021CE" w:rsidP="000021CE">
            <w:pPr>
              <w:numPr>
                <w:ilvl w:val="0"/>
                <w:numId w:val="12"/>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не организовано проведение инструктажей по БДД.</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При участии отделений Ространсинспекции в 36 субъектах Российской Федерации подготовлены нормативные правовые акты по организации пассажирских автоперевозок и перевозок детей школьного и дошкольного возраста. Проводимая работа способствовала снижению аварийности на лицензируемом автомобильном транспорте за т.г. по сравнению с аналогичным периодом 2001 г. на 18,5 %, погибших - на 20,4 %, раненых - на 14,5 %. В 2 раза уменьшилось число субъектов Российской Федерации, где отмечен рост аварийности на лицензируемом пассажирском транспорте (с 34 до 17).</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Практически во всех отделениях Ространсинспекции проводились совместные рейды с УГИБДД МВД России и МНС России и работниками автопредприятий по выявлению владельцев автомобилей, осуществляющих деятельность в сфере «теневой» экономики.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результате внедрения указанных рекомендаций отделениями Ространсинспекции совместно с территориальными органами МВД России и МНС России в 2002 году проведено почти 3392 тысяч рейдов, выявлено 2533 автобуса, 3352 грузовых и 1651 легковой автомобиль, работающих в сфере «теневой» экономики. Владельцы их привлечены к административной ответственности, из них 4043 получили лицензии на осуществление своей деятельности.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За прошедший год сотрудники отделений проконтролировали более 3 миллионов грузовых автотранспортных средств и автобусов, осуществляющих перевозки в международном сообщении. Из них – более 27 тысячам отказано во въезде на территорию Российской Федерации по причине нарушения международных договоров и российского законодательства, наложено 78 миллионов рублей в виде штрафов. Принятые меры по повышению конкурентоспособности и разумного государственного протекционизма в отношении российских перевозчиков позволили увеличить их долю во внешнеторговых перевозках грузов на 2%, что составило 34,7 процентов.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Совместная работа Ространсинспекции с Росавтотрансом по пресечению незаконно взимаемых сборов с международных перевозчиков на территории Российской Федерации позволила сократить их количество почти вдвое.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Кроме того, отделения Ространсинспекции Южного федерального округа принимали активное участие в нормализации деятельности транспортного комплекса в условиях сильного летнего паводка на территории Республики Адыгея и всего Северокавказского региона.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i/>
                <w:iCs/>
                <w:sz w:val="24"/>
                <w:szCs w:val="24"/>
                <w:u w:val="single"/>
                <w:vertAlign w:val="superscript"/>
                <w:lang w:eastAsia="ru-RU"/>
              </w:rPr>
            </w:pPr>
            <w:r w:rsidRPr="000021CE">
              <w:rPr>
                <w:rFonts w:ascii="Times New Roman" w:eastAsia="Times New Roman" w:hAnsi="Times New Roman" w:cs="Times New Roman"/>
                <w:i/>
                <w:iCs/>
                <w:sz w:val="20"/>
                <w:szCs w:val="20"/>
                <w:u w:val="single"/>
                <w:vertAlign w:val="superscript"/>
                <w:lang w:eastAsia="ru-RU"/>
              </w:rPr>
              <w:t>Железнодорожный транспорт</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отделениями Ространсинспекции было проверено более 900 субъектов железнодорожного транспорта, не входящих в систему МПС России, в том числе по жалобам потребителей – 1 субъект.</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проверок было выявлено свыше 3 тыс. нарушений и привлечено к административной ответственности 23 человека, выдано более 1 тыс. предписаний, направлено 8 представлений в органы государственной власти, управления и контроля.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Специалистами промышленного железнодорожного транспорта самостоятельно и совместно с другими государственными контрольными и надзорными органами проведены проверки технического состояния и обеспечения безопасности движения на ведомственных железнодорожных подъездных путях в более 5000 промышленных предприятиях, в ходе которых в 4582 (91,2%) выявлено около 27800 различных нарушений. Принятыми мерами 70% из них, устранены.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тематических проверок соблюдения требований по безопасной перевозке, погрузке и выгрузке опасных грузов на подъездных железнодорожных путях проверено 1163 промышленных предприятия (30% от осуществляющих данные работы), выявлено более 2100 нарушений требований нормативных правовых и нормативных технических актов, регламентирующих безопасную перевозку, погрузку и выгрузку опасных грузов, установлена деятельность 109 предприятий, не имеющих разрешений на проведение работ с опасными грузами. Принятыми мерами 77% вскрытых нарушений устранены.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Так, например, Пензенским областным отделением Ространсинспекции вопросы защиты прав потребителей услуг на промышленном железнодорожном транспорте решались при проведении совместных проверок с ревизорами Пензенского отделения Куйбышевской железной дороги, общественными инспекторами.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За отчетный период из 84 проверенных путей 22 были временно закрыты из-за большого количества нарушений. По всем нарушениям были выданы предписания и приняты необходимые меры воздействия. Все выявленные нарушения в настоящее время устранены.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На территории Томской области в 2002 году на железнодорожном транспорте, в целях принятия мер к устранению нарушений, руководителям 29 предприятий выдано 31 предписание с установленными сроками исполнения, по 27 предписаниям недостатки устранены полностью, остальные находятся в работе.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 xml:space="preserve">Инспекционная деятельность по содержанию владельцами железнодорожных переездов в технически исправном состоянии осуществлялась Отделением совместно с сотрудниками УГИБДД УВД Томской области, представителями служб безопасности движения автотранспортных предприятий, специалистами дорожных и железнодорожных предприятий, а также самостоятельно. Всего проверено техническое состояние и содержание 112 железнодорожных переездов и подходов к ним, из </w:t>
            </w:r>
            <w:r w:rsidRPr="000021CE">
              <w:rPr>
                <w:rFonts w:ascii="Times New Roman" w:eastAsia="Times New Roman" w:hAnsi="Times New Roman" w:cs="Times New Roman"/>
                <w:sz w:val="20"/>
                <w:szCs w:val="20"/>
                <w:vertAlign w:val="superscript"/>
                <w:lang w:eastAsia="ru-RU"/>
              </w:rPr>
              <w:lastRenderedPageBreak/>
              <w:t>них повторными контрольными проверками проверено 36 переездов.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проверок на 93 переездах выявлено 209 недостатков и отступлений в содержании переездов согласно требованиям «Инструкции по эксплуатации железнодорожных переездов ЦП-566 от 29.06.1998 г.», в том числе угрожающих безопасности движения - 122.</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По выявленным нарушениям руководителям 12 предприятий выданы предписания с установленными сроками исполнения, а 3 должностных лица привлечены к административной ответственности по статье 157-3 КОАП РФ.</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Ростовским областным отделением в интересах защиты прав потребителей на железнодорожном транспорте совместно с контролирующими органами МПС проверялись: дирекции по перевозке пассажиров в пригородном сообщении, пассажирские отделы отделений СКЖД, электропоезда, пешеходные мосты и галереи.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результате проверок выявлено 29 нарушений, составлено 3 акта, которые доведены до всех должностных лиц и в письменной форме проинформировано руководство СКЖД о необходимости принятия оперативных мер по устранению недостатков на указанных объектах.</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i/>
                <w:iCs/>
                <w:sz w:val="24"/>
                <w:szCs w:val="24"/>
                <w:u w:val="single"/>
                <w:vertAlign w:val="superscript"/>
                <w:lang w:eastAsia="ru-RU"/>
              </w:rPr>
            </w:pPr>
            <w:r w:rsidRPr="000021CE">
              <w:rPr>
                <w:rFonts w:ascii="Times New Roman" w:eastAsia="Times New Roman" w:hAnsi="Times New Roman" w:cs="Times New Roman"/>
                <w:i/>
                <w:iCs/>
                <w:sz w:val="20"/>
                <w:szCs w:val="20"/>
                <w:u w:val="single"/>
                <w:vertAlign w:val="superscript"/>
                <w:lang w:eastAsia="ru-RU"/>
              </w:rPr>
              <w:t>Морской транспорт</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количество субъектов, осуществляющих свою деятельность по специальному разрешению – лицензии составило почти 1 тыс. единиц. В течение года отделениями Ространсинспекции были проверены около 800 хозяйствующих субъектов, в том числе 4 по жалобам потребителей.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проверок было выявлено почти 1,1 тыс. нарушений и привлечено к административной ответственности около 90 человек, выдано почти 300 предписаний, направлено около 30 представлений в органы государственной власти, управления и контроля.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i/>
                <w:iCs/>
                <w:sz w:val="24"/>
                <w:szCs w:val="24"/>
                <w:u w:val="single"/>
                <w:vertAlign w:val="superscript"/>
                <w:lang w:eastAsia="ru-RU"/>
              </w:rPr>
            </w:pPr>
            <w:r w:rsidRPr="000021CE">
              <w:rPr>
                <w:rFonts w:ascii="Times New Roman" w:eastAsia="Times New Roman" w:hAnsi="Times New Roman" w:cs="Times New Roman"/>
                <w:i/>
                <w:iCs/>
                <w:sz w:val="20"/>
                <w:szCs w:val="20"/>
                <w:u w:val="single"/>
                <w:vertAlign w:val="superscript"/>
                <w:lang w:eastAsia="ru-RU"/>
              </w:rPr>
              <w:t>Внутренний водный транспорт</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количество субъектов, осуществляющих свою деятельность по специальному разрешению – лицензии составило почти 2,2 тыс. единиц, практически все в прошедшем году были проверены отделениями Ространсинспекции.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проверок было выявлено почти 6 тыс. нарушений и привлечено к административной ответственности около 200 человек, выдано почти 1,6 тыс. предписаний, направлено 160 представлений в органы государственной власти, управления и контроля. Приостановлено действие 4 лицензий, а 1 лицензия аннулирована.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Согласно Плану совместных действий Росречфлота и Ространсинспекции по координации контрольно-надзорной деятельности на 2002 год были осуществлены:</w:t>
            </w:r>
          </w:p>
          <w:p w:rsidR="000021CE" w:rsidRPr="000021CE" w:rsidRDefault="000021CE" w:rsidP="000021CE">
            <w:pPr>
              <w:numPr>
                <w:ilvl w:val="0"/>
                <w:numId w:val="13"/>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тематические мероприятия по контролю 469 переправ совместно с представителями подразделений Росречфлота, ГИМС МПР России, в отдельных регионах с привлечением территориальных органов МВД России, местных органов исполнительной власти и самоуправления. Принятыми мерами 61% нарушений, из 168 выявленных, устранены. К административной ответственности привлечено 38 владельцев переправ, 95 переправ не были допущены к эксплуатации в 2002 году;</w:t>
            </w:r>
          </w:p>
          <w:p w:rsidR="000021CE" w:rsidRPr="000021CE" w:rsidRDefault="000021CE" w:rsidP="000021CE">
            <w:pPr>
              <w:numPr>
                <w:ilvl w:val="0"/>
                <w:numId w:val="13"/>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проверки соблюдения требований по состоянию навигационного ограждения мостов, воздушных и подводных переходов, которые позволили привести в соответствие с требованиями действующих ГОСТов и Инструкции по содержанию навигационного оборудования навигационное ограждение 83 мостов, 71 воздушного и 115 подводных переходов;</w:t>
            </w:r>
          </w:p>
          <w:p w:rsidR="000021CE" w:rsidRPr="000021CE" w:rsidRDefault="000021CE" w:rsidP="000021CE">
            <w:pPr>
              <w:numPr>
                <w:ilvl w:val="0"/>
                <w:numId w:val="13"/>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мероприятия по контролю при перевозках внутренним водным транспортом опасных грузов, которые позволили обновить банк данных по 82 судоходным компаниям в 26 субъектах Российской Федерации. Выдано 7 предписаний на устранение выявленных недостатков, к административной ответственности привлечено 4 должностных лица хозяйствующих субъектов;</w:t>
            </w:r>
          </w:p>
          <w:p w:rsidR="000021CE" w:rsidRPr="000021CE" w:rsidRDefault="000021CE" w:rsidP="000021CE">
            <w:pPr>
              <w:numPr>
                <w:ilvl w:val="0"/>
                <w:numId w:val="13"/>
              </w:num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мониторинг, позволивший уточнить перечень по 96 судоходным компаниям, использующим в перевозочной деятельности 1003 судна смешанного (река-море) плавания, занятые на перевозках грузов по внутренним водным путям, в морских бассейнах, в том числе по внутренним водным путям с выходом в морские бассейны.</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Так, например, в сфере водного транспорта Чувашским республиканским отделением ежегодно проводятся проверки обеспечения требований безопасности при перевозках пассажиров и выполнения Правил перевозок пассажиров. Проверки, как правило, проводятся совместно с представителями Чувашского территориального управления МАП России.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после выданных отделением предписаний установлен береговой павильон в остановочном пункте “Белые камни”, установлены дебаркадеры на речном вокзале г. Новочебоксарск и остановочном пункте г. Марпосад.</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Во исполнение Постановления Главы Администрации Томской области в апреле 2002 г. отделением РТИ совместно с контрольными органами Томской области и Комитетом отдела по Чрезвычайным ситуациям Томской области проведены проверки по соблюдению правил отстоя плавсредств в межнавигационный период, а также на предмет возможного дрейфа в период ледохода.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Выявлено 2 нарушения условий лицензионной деятельности, а также "Положения об организации отстоя и охраны судов морского, речного флота в межнавигационный период".</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lastRenderedPageBreak/>
              <w:t>По выявленным нарушениям должностные лица и судовладельцы привлечены к административной ответственности.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Отделением разработаны и заключены соглашения с Государственной инспекцией маломерных судов и Государственной Речной Судоходной Инспекцией Бассейнового Управления.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Хабаровском краевом отделении контроль за соблюдением прав потребителей и качеством предоставляемых услуг носил сезонный характер. Инспекторские проверки хозяйствующих субъектов и транспортных средств бассейна р. Амур проводились, как правило, совместно с органами транспортной прокуратуры, экологии и МАП России. В ходе проверок контролировалось предоставление услуг и соблюдение установленного графика и расписания движения судов, паромных переправ, наличие информации на речных вокзалах и остановочных пунктах, правильность установления тарифов на перевозки пассажиров и багажа и личного страхования пассажиров междугородных линий.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Внедрение в 2002 году в других регионах России опыта работы Московского областного отделения Ространсинспекции во взаимодействии с Администрацией г. Москвы и Московской области по организации деятельности пунктов отстоя судов позволило обеспечить проведение организационных и правовых мероприятий по решению проблемы организации безопасной стоянки судов, цивилизованное обустройство их мест отстоя и ремонта, снижение отрицательного воздействия на окружающую природную среду, соблюдение природоохранного, транспортного и водного законодательства при эксплуатации судов, упрощение процедур контрольной и надзорной деятельности, укрепление правопорядка и охраны жизни людей на воде.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i/>
                <w:iCs/>
                <w:sz w:val="24"/>
                <w:szCs w:val="24"/>
                <w:u w:val="single"/>
                <w:vertAlign w:val="superscript"/>
                <w:lang w:eastAsia="ru-RU"/>
              </w:rPr>
            </w:pPr>
            <w:r w:rsidRPr="000021CE">
              <w:rPr>
                <w:rFonts w:ascii="Times New Roman" w:eastAsia="Times New Roman" w:hAnsi="Times New Roman" w:cs="Times New Roman"/>
                <w:i/>
                <w:iCs/>
                <w:sz w:val="20"/>
                <w:szCs w:val="20"/>
                <w:u w:val="single"/>
                <w:vertAlign w:val="superscript"/>
                <w:lang w:eastAsia="ru-RU"/>
              </w:rPr>
              <w:t>Гражданская авиация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2002 году была проверено отделениями Ространсинспекции более 1 тыс. хозяйствующих субъектов.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ходе проверок было выявлено свыше 4 тыс. нарушений и привлечено к административной ответственности 49 человек, выдано свыше 750 предписаний, направлено 154 представления в органы государственной власти, управления и контроля.</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Проведены мероприятия по выявлению субъектов и физических лиц, использующих воздушные суда, не зарегистрированные в Государственном реестре гражданских воздушных судов Российской Федерации, но выполняющих деловые, любительские и другие виды полетов. В 63 регионах России установлено функционирование свыше 430 вышеуказанных субъектов, использующих 1049 летательных аппаратов, в том числе 364 самолета, 53 вертолета, 637 различного рода дельтапланов, дельталетов и других летательных аппаратов. Среди данных субъектов более 220 частных владельцев, не состоящих в общественных организациях, которые не зная документов, регламентирующих деятельность авиации общего назначения, как правило, выполняют полеты на не сертифицированной авиационной технике, без подачи заявки и наличия разрешения на право использования воздушного пространства, а также с другими нарушениями, что создавало реальную угрозу безопасности полетов, объектам и населению на земле и неоднократно приводило к авиационным происшествиям.</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сфере гражданской авиации большая работа была проведена Приморским краевым отделением Ространсинспекции по устранению напряженной ситуации в предзабастовочный период диспетчеров ГУП “Примораэронавигация”. На место выезжала бригада работников транспортной прокуратуры и отделения РТИ. В результате принятых мер акция протеста диспетчеров в крае такого размаха, как в целом по России, не получила.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Томским областным отделением Ространсинспекции в 2002 году проведено 3 проверки субъектов на воздушном транспорте, по защите прав потребителей, соблюдению режима труда и отдыха экипажей, по подготовке к работе в зимних условиях. Проверено 13 воздушных судов. Нарушений не выявлено.</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Хабаровским краевым отделением РТИ при инспектировании предприятий и организаций в области гражданской авиации контролировалось выполнение ими статей 7, 8, 9, 10 Закона РФ «О защите прав потребителей», соблюдение требований отраслевого стандарта ОСТ 54-1-283.03-94 «Услуги, предоставляемые пассажирам при продаже авиаперевозок». У 5 хозяйствующих субъектов в сфере гражданской авиации выявлено 9 нарушений прав потребителей, по которым специалистами воздушного транспорта отделения выдано 5 предписаний. Мероприятия, указанные в предписаниях, выполнены в установленные сроки. Контрольные проверки подтвердили их выполнение.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Ростовское областное отделение РТИ констатирует, что работа Ростовского аэропорта в полной мере удовлетворяет требованиям защиты и профилактики от проявлений террористической деятельности. В этих целях ведется совместная работа с воздушной армией УВД, УФСБ, Северо-Кавказским таможенным управлением, также функционирует внутренняя служба авиационной безопасности.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b/>
                <w:bCs/>
                <w:sz w:val="24"/>
                <w:szCs w:val="24"/>
                <w:vertAlign w:val="superscript"/>
                <w:lang w:eastAsia="ru-RU"/>
              </w:rPr>
            </w:pPr>
            <w:r w:rsidRPr="000021CE">
              <w:rPr>
                <w:rFonts w:ascii="Times New Roman" w:eastAsia="Times New Roman" w:hAnsi="Times New Roman" w:cs="Times New Roman"/>
                <w:b/>
                <w:bCs/>
                <w:sz w:val="20"/>
                <w:szCs w:val="20"/>
                <w:vertAlign w:val="superscript"/>
                <w:lang w:eastAsia="ru-RU"/>
              </w:rPr>
              <w:t>6. Реализация соглашений между отделениями Российской транспортной инспекции и территориальными управлениями МАП России.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Работа отделений Ространсинспекции с территориальными управлениями МАП России строится на основании «Соглашения Министерства Российской Федерации по антимонопольной политике и поддержке предпринимательства и Министерства транспорта Российской Федерации о взаимодействии по контролю за соблюдением законодательства субъектами рынка транспортных услуг», заключенного 19 июля 1999 года.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vertAlign w:val="superscript"/>
                <w:lang w:eastAsia="ru-RU"/>
              </w:rPr>
            </w:pPr>
            <w:r w:rsidRPr="000021CE">
              <w:rPr>
                <w:rFonts w:ascii="Times New Roman" w:eastAsia="Times New Roman" w:hAnsi="Times New Roman" w:cs="Times New Roman"/>
                <w:sz w:val="20"/>
                <w:szCs w:val="20"/>
                <w:vertAlign w:val="superscript"/>
                <w:lang w:eastAsia="ru-RU"/>
              </w:rPr>
              <w:t>В развитие данного соглашения в большинстве регионов Российской Федерации отделения Ространсинспекции имеются свои соглашения с территориальными управлениями МАП России, в которых, в зависимости от ситуации, планируются совместные действия:</w:t>
            </w:r>
          </w:p>
          <w:p w:rsidR="000021CE" w:rsidRPr="000021CE" w:rsidRDefault="000021CE" w:rsidP="000021C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рейды по выявлению случаев нарушения антимонопольного законодательства на транспорте;</w:t>
            </w:r>
          </w:p>
          <w:p w:rsidR="000021CE" w:rsidRPr="000021CE" w:rsidRDefault="000021CE" w:rsidP="000021C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lastRenderedPageBreak/>
              <w:t>разбирательства по жалобам населения на работу транспорта и т.д.</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 например, Чувашским республиканским отделением Ространсинспекции, заключено Соглашение с Чувашским территориальным управлением МАП России о взаимодействии по контролю за соблюдением законодательства субъектами рынка транспортных услуг. В Республике создан Межведомственный координационный совет по делам потребителей, в состав которого входит руководитель отделения Ространсинспекции и руководители других контрольно-надзорных органов.</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Кроме того, некоторыми отделениями Ространсинспекции на основании этого соглашения оказывается содействие территориальным управлениям МАП России по обязательной регистрации в них издаваемых органами местного самоуправления нормативных правовых актов, связанных с деятельностью транспорта.</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Такая работа проводится Адыгейским, Бурятским и Коми республиканскими, Хабаровским краевым и Ростовским областным отделениями.</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В основном, совместные проверки в 2002 году проводились по соблюдению законодательства владельцами платных стоянок автотранспорта и по соблюдению тарифной политики хозяйствующими субъектами, осуществляющими свою деятельность на транспорте.</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Примером взаимодействия отделения Ространсинспекции и территориального управления МАП России может служить взаимодействие с Приморским территориальным управлением МАП России. Наиболее распространенной формой совместной работы является создание рабочих групп по изучению проблемных ситуаций.</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 например, совместно, ими были изучены и рассмотрены проблемные ситуации, связанные с взиманием всевозможных сборов на автомобильных пунктах пропуска через госграницу, деятельностью многочисленных структур по продаже авиаперевозок.</w:t>
            </w:r>
          </w:p>
          <w:p w:rsidR="000021CE" w:rsidRPr="000021CE" w:rsidRDefault="000021CE" w:rsidP="000021CE">
            <w:pPr>
              <w:spacing w:before="100" w:beforeAutospacing="1" w:after="100" w:afterAutospacing="1"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0"/>
                <w:szCs w:val="20"/>
                <w:lang w:eastAsia="ru-RU"/>
              </w:rPr>
              <w:t>Также тесно взаимодействуют с территориальными управлениями МАП России Калужское, Курганское, Томское и Челябинское областные отделения и Ямало-Ненецкое окружное отделение.</w:t>
            </w:r>
          </w:p>
          <w:p w:rsidR="000021CE" w:rsidRPr="000021CE" w:rsidRDefault="000021CE" w:rsidP="000021CE">
            <w:pPr>
              <w:spacing w:after="0" w:line="240" w:lineRule="auto"/>
              <w:rPr>
                <w:rFonts w:ascii="Times New Roman" w:eastAsia="Times New Roman" w:hAnsi="Times New Roman" w:cs="Times New Roman"/>
                <w:sz w:val="24"/>
                <w:szCs w:val="24"/>
                <w:lang w:eastAsia="ru-RU"/>
              </w:rPr>
            </w:pPr>
            <w:r w:rsidRPr="000021CE">
              <w:rPr>
                <w:rFonts w:ascii="Times New Roman" w:eastAsia="Times New Roman" w:hAnsi="Times New Roman" w:cs="Times New Roman"/>
                <w:sz w:val="24"/>
                <w:szCs w:val="24"/>
                <w:lang w:eastAsia="ru-RU"/>
              </w:rPr>
              <w:t> </w:t>
            </w:r>
          </w:p>
        </w:tc>
      </w:tr>
    </w:tbl>
    <w:p w:rsidR="008C0392" w:rsidRDefault="008C0392"/>
    <w:sectPr w:rsidR="008C0392" w:rsidSect="008C0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D75"/>
    <w:multiLevelType w:val="multilevel"/>
    <w:tmpl w:val="973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920A8"/>
    <w:multiLevelType w:val="multilevel"/>
    <w:tmpl w:val="21A6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A6063"/>
    <w:multiLevelType w:val="multilevel"/>
    <w:tmpl w:val="F642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D1567"/>
    <w:multiLevelType w:val="multilevel"/>
    <w:tmpl w:val="79C2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466EB"/>
    <w:multiLevelType w:val="multilevel"/>
    <w:tmpl w:val="2F46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B15B6"/>
    <w:multiLevelType w:val="multilevel"/>
    <w:tmpl w:val="4FE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2231D"/>
    <w:multiLevelType w:val="multilevel"/>
    <w:tmpl w:val="9A3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B2F60"/>
    <w:multiLevelType w:val="multilevel"/>
    <w:tmpl w:val="4426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33755"/>
    <w:multiLevelType w:val="multilevel"/>
    <w:tmpl w:val="D16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BA47B5"/>
    <w:multiLevelType w:val="multilevel"/>
    <w:tmpl w:val="81C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162B1E"/>
    <w:multiLevelType w:val="multilevel"/>
    <w:tmpl w:val="8CD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B039AF"/>
    <w:multiLevelType w:val="multilevel"/>
    <w:tmpl w:val="4700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1C2933"/>
    <w:multiLevelType w:val="multilevel"/>
    <w:tmpl w:val="308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2A2109"/>
    <w:multiLevelType w:val="multilevel"/>
    <w:tmpl w:val="159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3"/>
  </w:num>
  <w:num w:numId="4">
    <w:abstractNumId w:val="8"/>
  </w:num>
  <w:num w:numId="5">
    <w:abstractNumId w:val="9"/>
  </w:num>
  <w:num w:numId="6">
    <w:abstractNumId w:val="7"/>
  </w:num>
  <w:num w:numId="7">
    <w:abstractNumId w:val="6"/>
  </w:num>
  <w:num w:numId="8">
    <w:abstractNumId w:val="10"/>
  </w:num>
  <w:num w:numId="9">
    <w:abstractNumId w:val="11"/>
  </w:num>
  <w:num w:numId="10">
    <w:abstractNumId w:val="4"/>
  </w:num>
  <w:num w:numId="11">
    <w:abstractNumId w:val="3"/>
  </w:num>
  <w:num w:numId="12">
    <w:abstractNumId w:val="5"/>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021CE"/>
    <w:rsid w:val="000021CE"/>
    <w:rsid w:val="008C03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92"/>
  </w:style>
  <w:style w:type="paragraph" w:styleId="3">
    <w:name w:val="heading 3"/>
    <w:basedOn w:val="a"/>
    <w:link w:val="30"/>
    <w:uiPriority w:val="9"/>
    <w:qFormat/>
    <w:rsid w:val="000021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21CE"/>
    <w:rPr>
      <w:rFonts w:ascii="Times New Roman" w:eastAsia="Times New Roman" w:hAnsi="Times New Roman" w:cs="Times New Roman"/>
      <w:b/>
      <w:bCs/>
      <w:sz w:val="27"/>
      <w:szCs w:val="27"/>
      <w:lang w:eastAsia="ru-RU"/>
    </w:rPr>
  </w:style>
  <w:style w:type="character" w:customStyle="1" w:styleId="apple-style-span">
    <w:name w:val="apple-style-span"/>
    <w:basedOn w:val="a0"/>
    <w:rsid w:val="000021CE"/>
  </w:style>
  <w:style w:type="paragraph" w:styleId="a3">
    <w:name w:val="Normal (Web)"/>
    <w:basedOn w:val="a"/>
    <w:uiPriority w:val="99"/>
    <w:unhideWhenUsed/>
    <w:rsid w:val="00002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21CE"/>
  </w:style>
  <w:style w:type="paragraph" w:styleId="a4">
    <w:name w:val="Balloon Text"/>
    <w:basedOn w:val="a"/>
    <w:link w:val="a5"/>
    <w:uiPriority w:val="99"/>
    <w:semiHidden/>
    <w:unhideWhenUsed/>
    <w:rsid w:val="000021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2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39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6615</Words>
  <Characters>37708</Characters>
  <Application>Microsoft Office Word</Application>
  <DocSecurity>0</DocSecurity>
  <Lines>314</Lines>
  <Paragraphs>88</Paragraphs>
  <ScaleCrop>false</ScaleCrop>
  <Company/>
  <LinksUpToDate>false</LinksUpToDate>
  <CharactersWithSpaces>44235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2010-11-25T17:21:00Z</dcterms:created>
  <dcterms:modified xsi:type="dcterms:W3CDTF">2010-11-25T17:21:00Z</dcterms:modified>
</cp:coreProperties>
</file>